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B9" w:rsidRDefault="008F3AB9" w:rsidP="008F3AB9">
      <w:pPr>
        <w:widowControl w:val="0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</w:pPr>
      <w:bookmarkStart w:id="0" w:name="bookmark0"/>
      <w:r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Рекомендації щодо виконання</w:t>
      </w:r>
    </w:p>
    <w:p w:rsidR="008F3AB9" w:rsidRDefault="008F3AB9" w:rsidP="008F3AB9">
      <w:pPr>
        <w:widowControl w:val="0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Лабораторної роботи №11 «Структурні та текстурні особливості</w:t>
      </w:r>
    </w:p>
    <w:p w:rsidR="008F3AB9" w:rsidRDefault="008F3AB9" w:rsidP="008F3AB9">
      <w:pPr>
        <w:widowControl w:val="0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метаморфічних гірських порід»</w:t>
      </w:r>
    </w:p>
    <w:p w:rsidR="008F3AB9" w:rsidRDefault="008F3AB9" w:rsidP="008F3AB9">
      <w:pPr>
        <w:widowControl w:val="0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</w:pPr>
    </w:p>
    <w:p w:rsidR="008F3AB9" w:rsidRDefault="008F3AB9" w:rsidP="008F3AB9">
      <w:pPr>
        <w:widowControl w:val="0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</w:pPr>
    </w:p>
    <w:p w:rsidR="00564740" w:rsidRPr="00411295" w:rsidRDefault="008F3AB9" w:rsidP="008F3AB9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outlineLvl w:val="2"/>
        <w:rPr>
          <w:rFonts w:ascii="Times New Roman" w:eastAsia="Times New Roman" w:hAnsi="Times New Roman" w:cs="Courier New"/>
          <w:b/>
          <w:i/>
          <w:sz w:val="28"/>
          <w:szCs w:val="24"/>
          <w:lang w:val="uk-UA" w:eastAsia="ru-RU"/>
        </w:rPr>
      </w:pPr>
      <w:r w:rsidRPr="00411295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>Перед оформленням Таблиці 17 ознайомтесь з теоретичним матеріалом, в якому ви знайдете докладний опис с</w:t>
      </w:r>
      <w:r w:rsidR="00564740" w:rsidRPr="00411295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 xml:space="preserve">труктур </w:t>
      </w:r>
      <w:r w:rsidRPr="00411295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>і</w:t>
      </w:r>
      <w:r w:rsidR="00564740" w:rsidRPr="00411295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 xml:space="preserve"> текстур метаморфічних порід</w:t>
      </w:r>
      <w:bookmarkEnd w:id="0"/>
      <w:r w:rsidRPr="00411295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>.</w:t>
      </w:r>
    </w:p>
    <w:p w:rsidR="008F3AB9" w:rsidRDefault="008F3AB9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uk-UA"/>
        </w:rPr>
      </w:pP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Структурі метаморфічних порід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властиві специфічні ознаки на відміну від магматичних порід. Це пояснюється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тим, що метаморфічні породи утворюються внаслідок перекристалізації порід у твердому стані, а не внаслідок застигання розплавів, як магматичні. Основними структурами метаморфічних порід є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кристалобластові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,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катакластичні</w:t>
      </w:r>
      <w:proofErr w:type="spellEnd"/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і реліктові.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proofErr w:type="spellStart"/>
      <w:r w:rsidRPr="00564740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>Кристалобластові</w:t>
      </w:r>
      <w:proofErr w:type="spellEnd"/>
      <w:r w:rsidRPr="00564740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 xml:space="preserve"> структури</w:t>
      </w:r>
      <w:r w:rsid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це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повнокристалічні</w:t>
      </w:r>
      <w:proofErr w:type="spellEnd"/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структури гірських порід, що утворилися внаслідок їх перекристалізації у твердому стані, коли водночас ростуть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кристали всіх мінералів.</w:t>
      </w:r>
    </w:p>
    <w:p w:rsidR="00411295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uk-UA"/>
        </w:rPr>
      </w:pP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Залежно від форми і розмірів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зерен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мінералів серед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криста</w:t>
      </w:r>
      <w:r w:rsid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лобластових</w:t>
      </w:r>
      <w:proofErr w:type="spellEnd"/>
      <w:r w:rsid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структур виділяють:</w:t>
      </w:r>
    </w:p>
    <w:p w:rsidR="00411295" w:rsidRDefault="00564740" w:rsidP="00411295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proofErr w:type="spellStart"/>
      <w:r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гранобластові</w:t>
      </w:r>
      <w:proofErr w:type="spellEnd"/>
      <w:r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(утворені п</w:t>
      </w:r>
      <w:r w:rsid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ереважно з ізометричних </w:t>
      </w:r>
      <w:proofErr w:type="spellStart"/>
      <w:r w:rsid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зерен</w:t>
      </w:r>
      <w:proofErr w:type="spellEnd"/>
      <w:r w:rsid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),</w:t>
      </w:r>
    </w:p>
    <w:p w:rsidR="00411295" w:rsidRDefault="00564740" w:rsidP="00411295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порфіробластові (в основній масі породи виділяються окремі великі </w:t>
      </w:r>
      <w:proofErr w:type="spellStart"/>
      <w:r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куватої</w:t>
      </w:r>
      <w:proofErr w:type="spellEnd"/>
      <w:r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і </w:t>
      </w:r>
      <w:proofErr w:type="spellStart"/>
      <w:r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листуватої</w:t>
      </w:r>
      <w:proofErr w:type="spellEnd"/>
      <w:r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форми </w:t>
      </w:r>
      <w:proofErr w:type="spellStart"/>
      <w:r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крист</w:t>
      </w:r>
      <w:r w:rsid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алобластів</w:t>
      </w:r>
      <w:proofErr w:type="spellEnd"/>
      <w:r w:rsid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),</w:t>
      </w:r>
      <w:proofErr w:type="spellStart"/>
    </w:p>
    <w:p w:rsidR="00564740" w:rsidRPr="00411295" w:rsidRDefault="00564740" w:rsidP="00411295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нематобластові</w:t>
      </w:r>
      <w:proofErr w:type="spellEnd"/>
      <w:r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(кристали мають голчасту або ниткоподібну форму) та ін.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proofErr w:type="spellStart"/>
      <w:r w:rsidRPr="00564740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>Катакластичні</w:t>
      </w:r>
      <w:proofErr w:type="spellEnd"/>
      <w:r w:rsidRPr="00564740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 xml:space="preserve"> структури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характеризуються тим, що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частина породотвірних мінералів у них роздроблена і не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зберігла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своєї первинної форми. Вони утворюються під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час динамометаморфізму. Таку структуру мають тектонічні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брекчії,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катаклазити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,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мілоніти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 xml:space="preserve">Реліктові структури </w:t>
      </w:r>
      <w:r w:rsid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це структури, в яких основна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маса первинних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зерен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мінералів дуже змінена і має дрібнозернистий вигляд, але в ній лишилися окремі первинні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зерна </w:t>
      </w:r>
      <w:r w:rsid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релікти.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В кожній із зазначених груп структур виділяють окремі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типи і різновиди.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color w:val="FF0000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>Вивчення структурних особливостей метаморфічних</w:t>
      </w:r>
      <w:r w:rsidRPr="00540E33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 xml:space="preserve">порід потребує застосування оптичних методів дослідження і насамперед </w:t>
      </w:r>
      <w:r w:rsidR="00540E33" w:rsidRPr="00540E33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 xml:space="preserve"> п</w:t>
      </w:r>
      <w:r w:rsidR="00540E33" w:rsidRPr="00540E33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>о</w:t>
      </w:r>
      <w:r w:rsidRPr="00564740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>ляризаційного мікроскопа</w:t>
      </w:r>
      <w:r w:rsidR="00540E33"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540E33">
        <w:rPr>
          <w:rFonts w:ascii="Times New Roman" w:eastAsia="Times New Roman" w:hAnsi="Times New Roman" w:cs="Courier New"/>
          <w:color w:val="FF0000"/>
          <w:sz w:val="28"/>
          <w:szCs w:val="24"/>
          <w:lang w:val="uk-UA" w:eastAsia="uk-UA"/>
        </w:rPr>
        <w:t>(ТОМУ ПРИ ЗАПОВНЕННІ СТОВПЧИКУ «СТРУКТУРА», ВИКОРИСТОВУЮТЬСЯ ІНТЕРНЕТ РЕСУРСИ)</w:t>
      </w:r>
      <w:r w:rsidRPr="00564740">
        <w:rPr>
          <w:rFonts w:ascii="Times New Roman" w:eastAsia="Times New Roman" w:hAnsi="Times New Roman" w:cs="Courier New"/>
          <w:color w:val="FF0000"/>
          <w:sz w:val="28"/>
          <w:szCs w:val="24"/>
          <w:lang w:val="uk-UA" w:eastAsia="uk-UA"/>
        </w:rPr>
        <w:t>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 xml:space="preserve">Текстури метаморфічних порід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поділяють на дві групи: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успадковані, або реліктові, і сингенетичні, або власне метаморфічні.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>Успадковані (реліктові) текстури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характеризуються тим,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що вони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lastRenderedPageBreak/>
        <w:t>зберегли свій первинний вигляд, тобто вигляд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тієї текстури, яка була властива первинній,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неметаморфізованій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породі. Вони найчастіше трапляються в контактових ореолах інтрузивних масивів.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 xml:space="preserve">Власне метаморфічні (сингенетичні) текстури </w:t>
      </w:r>
      <w:r w:rsid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це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текстури, виникнення яких пов’язане з формуванням саме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метаморфічної породи. Серед них виділяють масивні, сланцюваті, смугасті, плямисті, очкові та ін. групи.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В </w:t>
      </w:r>
      <w:r w:rsidRPr="00564740">
        <w:rPr>
          <w:rFonts w:ascii="Times New Roman" w:eastAsia="Times New Roman" w:hAnsi="Times New Roman" w:cs="Courier New"/>
          <w:i/>
          <w:sz w:val="28"/>
          <w:szCs w:val="24"/>
          <w:lang w:val="uk-UA" w:eastAsia="uk-UA"/>
        </w:rPr>
        <w:t>масивній текстурі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розмір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зерен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мінералів однаковий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чи майже однаковий, і, відповідно, структура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рівномірнозерниста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(мармур).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i/>
          <w:sz w:val="28"/>
          <w:szCs w:val="24"/>
          <w:lang w:val="uk-UA" w:eastAsia="uk-UA"/>
        </w:rPr>
        <w:t xml:space="preserve">Сланцювата текстура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зумовлена взаємно паралельним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розташуванням пластинчастих і лускуватих мінералів (амфіболів,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слюд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).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i/>
          <w:sz w:val="28"/>
          <w:szCs w:val="24"/>
          <w:lang w:val="uk-UA" w:eastAsia="uk-UA"/>
        </w:rPr>
        <w:t>Смугаста текстура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окремі зерна групуються в паралельних зонах (гнейси).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i/>
          <w:sz w:val="28"/>
          <w:szCs w:val="24"/>
          <w:lang w:val="uk-UA" w:eastAsia="uk-UA"/>
        </w:rPr>
        <w:t>Плямиста текстура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окремі зерна, групуючись, утворюють своєрідні плями в породі (мігматити).</w:t>
      </w:r>
    </w:p>
    <w:p w:rsidR="00564740" w:rsidRPr="008F3AB9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uk-UA"/>
        </w:rPr>
      </w:pPr>
      <w:r w:rsidRPr="00564740">
        <w:rPr>
          <w:rFonts w:ascii="Times New Roman" w:eastAsia="Times New Roman" w:hAnsi="Times New Roman" w:cs="Courier New"/>
          <w:i/>
          <w:sz w:val="28"/>
          <w:szCs w:val="24"/>
          <w:lang w:val="uk-UA" w:eastAsia="uk-UA"/>
        </w:rPr>
        <w:t xml:space="preserve">Очкова текстура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зумовлена наявністю великих порфіробластів польового шпату округлої або еліпсоподібної форми в добре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розкристалізованій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основній масі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породи.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>Вивчати текстурні особливості метаморфічних порід</w:t>
      </w:r>
      <w:r w:rsidRPr="00540E33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 xml:space="preserve">можна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>макроскопічно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 xml:space="preserve"> (візуально), тобто без застосування</w:t>
      </w:r>
      <w:r w:rsidRPr="00540E33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>оптичних приладів.</w:t>
      </w:r>
    </w:p>
    <w:p w:rsidR="00564740" w:rsidRPr="008F3AB9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uk-UA"/>
        </w:rPr>
      </w:pP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</w:p>
    <w:p w:rsidR="00564740" w:rsidRPr="00564740" w:rsidRDefault="00564740" w:rsidP="00540E33">
      <w:pPr>
        <w:widowControl w:val="0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Courier New"/>
          <w:b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Класифікація метаморфічних порід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Метаморфічні гірські породи не мають єдиної загальноприйнятої класифікації. В основу їх класифікації покладено хімічний і мінеральний склад, структуру й текстуру, а також види метаморфізму. Мінеральний склад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дає змогу встановити тиск і температуру метаморфізму;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структурні й текстурні особливості — глибину і способи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метаморфізму, хімічний склад — характер первинних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порід. Однак і це не завжди вдається.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Розглянемо класифікацію метаморфічних порід</w:t>
      </w: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 xml:space="preserve"> за типами метаморфізму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Породи </w:t>
      </w:r>
      <w:r w:rsidRPr="00564740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 xml:space="preserve">регіонального метаморфізму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представлені трьома групами:</w:t>
      </w:r>
    </w:p>
    <w:p w:rsidR="00564740" w:rsidRPr="00540E33" w:rsidRDefault="00564740" w:rsidP="00540E33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породи прогресивного метаморфізму: гнейси, амфіболіти, </w:t>
      </w:r>
      <w:proofErr w:type="spellStart"/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еклогіти</w:t>
      </w:r>
      <w:proofErr w:type="spellEnd"/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;</w:t>
      </w:r>
    </w:p>
    <w:p w:rsidR="00564740" w:rsidRPr="00540E33" w:rsidRDefault="00564740" w:rsidP="00540E33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породи регресивного метаморфізму: слюдяні сланці, кварцити, мармури;</w:t>
      </w:r>
    </w:p>
    <w:p w:rsidR="00564740" w:rsidRPr="00540E33" w:rsidRDefault="00564740" w:rsidP="00540E33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породи ультраметаморфізму: мігматити, гранітогнейси.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Серед метаморфічних порід </w:t>
      </w:r>
      <w:r w:rsidRPr="00540E33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>локал</w:t>
      </w:r>
      <w:r w:rsidRPr="00564740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>ьного метаморфізму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виділяють:</w:t>
      </w:r>
    </w:p>
    <w:p w:rsidR="00564740" w:rsidRPr="00540E33" w:rsidRDefault="00564740" w:rsidP="00540E33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породи </w:t>
      </w:r>
      <w:proofErr w:type="spellStart"/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контактово</w:t>
      </w:r>
      <w:proofErr w:type="spellEnd"/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-термального метаморфізму: глинисті сланці, слюдисті сланці, роговики, мармури;</w:t>
      </w:r>
    </w:p>
    <w:p w:rsidR="00564740" w:rsidRPr="00540E33" w:rsidRDefault="00564740" w:rsidP="00540E33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породи автометаморфізму: грейзени, вторинні кварцити, </w:t>
      </w:r>
      <w:proofErr w:type="spellStart"/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серпентиніти</w:t>
      </w:r>
      <w:proofErr w:type="spellEnd"/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;</w:t>
      </w:r>
    </w:p>
    <w:p w:rsidR="00564740" w:rsidRPr="00540E33" w:rsidRDefault="00564740" w:rsidP="00540E33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породи контактового метаморфізму: скарни;</w:t>
      </w:r>
    </w:p>
    <w:p w:rsidR="00564740" w:rsidRPr="00540E33" w:rsidRDefault="00564740" w:rsidP="00540E33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породи динамометаморфізму: </w:t>
      </w:r>
      <w:proofErr w:type="spellStart"/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катаклази</w:t>
      </w:r>
      <w:proofErr w:type="spellEnd"/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, </w:t>
      </w:r>
      <w:proofErr w:type="spellStart"/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мілоніти</w:t>
      </w:r>
      <w:proofErr w:type="spellEnd"/>
      <w:r w:rsidRP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, тектонічні брекчії.</w:t>
      </w:r>
    </w:p>
    <w:p w:rsidR="00564740" w:rsidRDefault="00564740" w:rsidP="008F3AB9">
      <w:pPr>
        <w:widowControl w:val="0"/>
        <w:tabs>
          <w:tab w:val="center" w:pos="2775"/>
          <w:tab w:val="right" w:pos="4077"/>
          <w:tab w:val="right" w:pos="4641"/>
          <w:tab w:val="right" w:pos="5384"/>
        </w:tabs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uk-UA"/>
        </w:rPr>
      </w:pPr>
    </w:p>
    <w:p w:rsidR="00540E33" w:rsidRPr="008F3AB9" w:rsidRDefault="00540E33" w:rsidP="008F3AB9">
      <w:pPr>
        <w:widowControl w:val="0"/>
        <w:tabs>
          <w:tab w:val="center" w:pos="2775"/>
          <w:tab w:val="right" w:pos="4077"/>
          <w:tab w:val="right" w:pos="4641"/>
          <w:tab w:val="right" w:pos="5384"/>
        </w:tabs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uk-UA"/>
        </w:rPr>
      </w:pPr>
    </w:p>
    <w:p w:rsidR="00564740" w:rsidRPr="00540E33" w:rsidRDefault="00564740" w:rsidP="00540E33">
      <w:pPr>
        <w:widowControl w:val="0"/>
        <w:tabs>
          <w:tab w:val="center" w:pos="2775"/>
          <w:tab w:val="right" w:pos="4077"/>
          <w:tab w:val="right" w:pos="4641"/>
          <w:tab w:val="right" w:pos="5384"/>
        </w:tabs>
        <w:spacing w:after="0" w:line="276" w:lineRule="auto"/>
        <w:ind w:firstLine="709"/>
        <w:jc w:val="center"/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Опис метаморфічних порід</w:t>
      </w:r>
    </w:p>
    <w:p w:rsidR="00564740" w:rsidRPr="00564740" w:rsidRDefault="00564740" w:rsidP="008F3AB9">
      <w:pPr>
        <w:widowControl w:val="0"/>
        <w:tabs>
          <w:tab w:val="center" w:pos="2775"/>
          <w:tab w:val="right" w:pos="4077"/>
          <w:tab w:val="right" w:pos="4641"/>
          <w:tab w:val="right" w:pos="5384"/>
        </w:tabs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40E33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Г</w:t>
      </w:r>
      <w:r w:rsidR="00540E33" w:rsidRPr="00540E33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н</w:t>
      </w:r>
      <w:r w:rsidRPr="00540E33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 xml:space="preserve">ейси 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становлять близько 65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% всіх</w:t>
      </w:r>
      <w:r w:rsid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ab/>
        <w:t xml:space="preserve">метаморфічних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порід.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Вони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складаються з кварцу, польового шпату,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слюд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, піроксенів і рогової обманки. Розрізняють </w:t>
      </w:r>
      <w:proofErr w:type="spellStart"/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ортогнейси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, утворені при метаморфізмі гранітів, і </w:t>
      </w: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парагнейси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,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утворені з пісковиків, конгломератів та інших осадових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порід. Від гранітів вони відрізняються характерною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гранобластовою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структурою і смугастою текстурою. Використовуються як будівельний матеріал. З гнейсами пов’язані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родовища графіту і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слюд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Амфіболіти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утворюються переважно з середніх і основних магматичних гірських порід (діоритів, габро), а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також деяких осадових порід (мертелів, карбонатних глин).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Складаються з амфіболів, плагіоклазів, піроксенів, фанатів.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Колір переважно чорний, зелений, бурий. Мають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гранобластову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сфуктуру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і масивну текстуру.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proofErr w:type="spellStart"/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Ек</w:t>
      </w:r>
      <w:r w:rsidR="00540E33" w:rsidRPr="00540E33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л</w:t>
      </w: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огіти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є продуктами глибокого метаморфізму основних магматичних порід. Вони складені дуже залізистим гранатом, близьким до піропу й піроксенів. Часто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трапляються у вигляді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сенолітів</w:t>
      </w:r>
      <w:proofErr w:type="spellEnd"/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в алмазоносних </w:t>
      </w:r>
      <w:proofErr w:type="spellStart"/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кімбер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літових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трубках. Структури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крупнокристалічні, текстури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масивні. Забарвлені в темно-зелені до чорних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кольори.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Слюдяні сланці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є продуктами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метаморфізації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глинистих порід. Складаються з біотиту, мусковіту й кварцу; можуть бути присутні гранат і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дистен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. Структура </w:t>
      </w:r>
      <w:r w:rsid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бластова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,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порфіробластова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, текстура </w:t>
      </w:r>
      <w:r w:rsid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сланцювата. Забарвлення від сірого до темно-зеленого і чорного.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Кварцити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540E33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щільні зернисті породи, складені переважно з кварцу. Утворюються за метаморфізму кварцових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пісків і пісковиків. Колір сірий, рожевий, жовтуватий.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Структура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гранобластова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, текстура смугаста й масивна.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Використовуються в будівництві. В Україні родовища кварцитів давно відомі в районі м. Овруча (на півночі Жит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о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мирської області). Вони використовувалися в будівництві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ще за часів Київської Русі. Велике значення мають залізисті кварцити (</w:t>
      </w:r>
      <w:proofErr w:type="spellStart"/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джеспіліти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), з якими пов'язані великі поклади залізних руд у Кривому Розі.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Мармури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зернисті карбонатні породи, які утворюються внаслідок перекристалізації вапняків та мертелів.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Головним мінералом є кальцит. Кольори різноманітні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(білий, червоний, сірий, жовтий, чорний, смугастий тощо),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зумовлені наявністю різних домішок; структури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від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дрібнозернистих до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крупнозсрнистих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; текстури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масивні,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іноді смугасті. Використовується як декоративний і облицювальний матеріал. В Україні родовища мармуру є в Закарпатській та Житомирській областях.</w:t>
      </w:r>
    </w:p>
    <w:p w:rsidR="00564740" w:rsidRPr="008F3AB9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lastRenderedPageBreak/>
        <w:t>Мігматити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ц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е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крупносмугасті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породи, які утворилися внаслідок проникнення в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міжпластовий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простір первинних порід значної кількості розплавленого матеріалу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під час ультраметаморфізму. Співвідношення між первин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ним (материнським) і </w:t>
      </w:r>
      <w:proofErr w:type="spellStart"/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метаморфогенним</w:t>
      </w:r>
      <w:proofErr w:type="spellEnd"/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матеріалом коливається в межах 50:50. До їхнього складу входять: кварц, польові шпати, слюди та інші мінерали; структура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кристалобластова</w:t>
      </w:r>
      <w:proofErr w:type="spellEnd"/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; текстура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смугаста; забарвлення сіре, різних відтінків.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Гранітогнейси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формуються внаслідок глибокої переробки первинних порід під дією магматичних мас під час ультраметаморфізму. Зовні ці породи здебільшого нагадують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типові граніти, однак містять окремі релікти неповністю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переплавлених первинних порід. Головні породотвірні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мінерали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кварц, польові шпати, слюди, іноді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піроксени і амфіболи, циркон, рутил та ін. Структури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кристалобластові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; текстури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від масивних до смугастих; забарвлення сіре, різних відтінків.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Глинисті сланці.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Вихідним матеріалом для їх утворення є різноманітні глини. Крім первинних глинистих мінералів, у них присутні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типово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-метаморфічні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андалузит, слюди, дрібні зерна епідоту, хлориту і кварцу. Структура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дрібнозерниста; текстура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сланцювата.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Слюдисті сланці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утворюються переважно за рахунок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глинистих сланців. Відрізняються значно більшим вмістом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мусковіту, біотиту, кварцу, рогової обманки. Структура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кристалобластова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; текстура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сланцювата.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Роговики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щільні зернисті породи, які утворюються внаслідок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контактово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-термального метаморфізму з мергелів, а іноді й вулканічних порід. Складені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переважно кварцом з домішками біотиту, польових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шпатів, піроксенів, андалузиту, силіманіту, гранату та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ін. Структури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тонкозернисті; текстури здебільшого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смугасті.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Грейзени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формуються при досить високих температу</w:t>
      </w:r>
      <w:r w:rsid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рах (300...500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°С) переважно в зонах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ендоконтактів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магматичних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гранітоїдних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порід. Складені здебільшого кварцом,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мусковітом, літієвими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слюдами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, турмаліном, топазом, флюоритом, берилом та іншими мінералами. Структури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середньо- і крупнозернисті; текстури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гранобластові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, масивні. З грейзенами часто пов'язані великі родовища літію,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берилію, танталу, ніобію, урану, торію та інших корисних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копалин.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proofErr w:type="spellStart"/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Серпентиніти</w:t>
      </w:r>
      <w:proofErr w:type="spellEnd"/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є продуктом автом</w:t>
      </w:r>
      <w:r w:rsid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е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таморфізму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ультраосновних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олівінових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порід під дією гідротермальних розчинів порівняно невисокої температури (200...400</w:t>
      </w:r>
      <w:r w:rsidR="00411295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°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С).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Складені серпентином з реліктами олівіну, хромітом, тальком, кварцом та іншими мінералами. Структури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щільні,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тонкозернисті або волокнисті; текстури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реліктові,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неодноріднозернисті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. З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серпентинітами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пов'язані родовища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азбесту,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lastRenderedPageBreak/>
        <w:t>хроміту, тальку, а також міді, нікелю, кобальту,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платини та ін.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 xml:space="preserve">Скарни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формуються в зоні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екзоконтактів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гранітних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масивів з вапняками, доломітами і мармурами. В їхньому складі найчастіше трапляються піроксени, рогова обманка, гранати,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калійовий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польовий шпат, магнетит, гематит, сульфіди заліза, міді, свинцю, цинку, молібдену, а також золота. Структура скарнів змінюється від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дрібнозернистої до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гігантокристалічної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; текстури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власне метаморфічні, масивні, плямисті. Із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скарнами пов'язані промислові родовища магнетиту, шеєліту, каситериту, молібдену, халькопіриту, галеніту та інших мінералів.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proofErr w:type="spellStart"/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Катаклазити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породи сильно подрібнені, виникають у зонах розломів гірських порід. Перетерта маса часто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містить хлорит, серицит та інші вторинні мінерали.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Катаклазити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можуть утворюватися за рахунок будь-яких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порід, однак здебільшого вони формуються в гранітах,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діоритах, габро та інших магматичних породах. Структури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катакластичн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і</w:t>
      </w:r>
      <w:proofErr w:type="spellEnd"/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; текстури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реліктові, сланцю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ваті.</w:t>
      </w:r>
    </w:p>
    <w:p w:rsidR="00564740" w:rsidRPr="00564740" w:rsidRDefault="008F3AB9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proofErr w:type="spellStart"/>
      <w:r w:rsidRPr="00411295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Міло</w:t>
      </w:r>
      <w:r w:rsidR="00564740"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ніти</w:t>
      </w:r>
      <w:proofErr w:type="spellEnd"/>
      <w:r w:rsidR="00564740"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="00564740"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пор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оди ще більш подрібнені, ніж </w:t>
      </w:r>
      <w:proofErr w:type="spellStart"/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ка</w:t>
      </w:r>
      <w:r w:rsidR="00564740"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таклази</w:t>
      </w:r>
      <w:proofErr w:type="spellEnd"/>
      <w:r w:rsidR="00564740"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, формуються на контакті окремих блоків масивних порід, які перемішаються один відносно іншого з утворенням тонкозернистої спресованої маси з характерними поверхнями дзеркал сковзання. З нових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564740"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мінералів ту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т</w:t>
      </w:r>
      <w:r w:rsidR="00564740"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можуть утворюватися лусочки хлориту,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564740"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серициту, епідоту, кварцу та інших мінералів. Структури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="00564740"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proofErr w:type="spellStart"/>
      <w:r w:rsidR="00564740"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катакластичні</w:t>
      </w:r>
      <w:proofErr w:type="spellEnd"/>
      <w:r w:rsidR="00564740"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; текстури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="00564740"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сланцюваті, іноді</w:t>
      </w:r>
      <w:r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564740"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реліктові.</w:t>
      </w:r>
    </w:p>
    <w:p w:rsidR="00564740" w:rsidRPr="00564740" w:rsidRDefault="00564740" w:rsidP="008F3AB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564740">
        <w:rPr>
          <w:rFonts w:ascii="Times New Roman" w:eastAsia="Times New Roman" w:hAnsi="Times New Roman" w:cs="Courier New"/>
          <w:b/>
          <w:sz w:val="28"/>
          <w:szCs w:val="24"/>
          <w:lang w:val="uk-UA" w:eastAsia="uk-UA"/>
        </w:rPr>
        <w:t>Тектонічні брекчії</w:t>
      </w:r>
      <w:r w:rsid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="00411295" w:rsidRPr="00411295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–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сильно подрібнені породи, складені з уламків первинних порід. Також утворюються в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зонах тектонічних переміщень окремих блоків гірських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порід. Від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катаклазитів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і </w:t>
      </w:r>
      <w:proofErr w:type="spellStart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мілонітів</w:t>
      </w:r>
      <w:proofErr w:type="spellEnd"/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відрізняються збереженням великих уламків первинних порід, зцементованих дрібнозернистим перетертим матеріалом цих самих</w:t>
      </w:r>
      <w:r w:rsidR="008F3AB9" w:rsidRPr="008F3AB9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564740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порід.</w:t>
      </w:r>
    </w:p>
    <w:p w:rsidR="00564740" w:rsidRPr="002E418F" w:rsidRDefault="00564740" w:rsidP="002E418F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</w:p>
    <w:p w:rsidR="00263E6B" w:rsidRPr="002E418F" w:rsidRDefault="00263E6B" w:rsidP="002E418F">
      <w:pPr>
        <w:pStyle w:val="a3"/>
        <w:widowControl w:val="0"/>
        <w:numPr>
          <w:ilvl w:val="0"/>
          <w:numId w:val="1"/>
        </w:numPr>
        <w:spacing w:after="0" w:line="276" w:lineRule="auto"/>
        <w:ind w:left="993" w:hanging="284"/>
        <w:contextualSpacing w:val="0"/>
        <w:jc w:val="both"/>
        <w:outlineLvl w:val="2"/>
        <w:rPr>
          <w:rFonts w:ascii="Times New Roman" w:eastAsia="Times New Roman" w:hAnsi="Times New Roman" w:cs="Courier New"/>
          <w:b/>
          <w:i/>
          <w:sz w:val="28"/>
          <w:szCs w:val="24"/>
          <w:lang w:val="uk-UA" w:eastAsia="ru-RU"/>
        </w:rPr>
      </w:pPr>
      <w:r w:rsidRPr="002E418F">
        <w:rPr>
          <w:rFonts w:ascii="Times New Roman" w:eastAsia="Times New Roman" w:hAnsi="Times New Roman" w:cs="Courier New"/>
          <w:b/>
          <w:i/>
          <w:sz w:val="28"/>
          <w:szCs w:val="24"/>
          <w:lang w:val="uk-UA" w:eastAsia="uk-UA"/>
        </w:rPr>
        <w:t>Методичні вказівки для опису і визначення метаморфічних гірських порід при заповненні Таблиці 17 «Структурні та текстурні особливості метаморфічних гірських порід».</w:t>
      </w:r>
    </w:p>
    <w:p w:rsidR="00263E6B" w:rsidRPr="002E418F" w:rsidRDefault="00263E6B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63E6B" w:rsidRPr="002E418F" w:rsidRDefault="00263E6B" w:rsidP="002E41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Для опису і визначення метаморфічних гірських порід необхідно мати: колекцію метаморфічних гірських порід, лупу (</w:t>
      </w:r>
      <w:r w:rsidRPr="002E418F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 xml:space="preserve">ОСКІЛЬКИ ВИВЧЕННЯ ДАНОЇ ТЕМИ ВІДБУВАЄТЬСЯ ДИСТАНЦІЙНО, ТО СТУДЕНТИ РОЗГЛЯДАЮТЬ ЗРАЗКИ ПОРІД В МЕРЕЖІ </w:t>
      </w:r>
      <w:proofErr w:type="spellStart"/>
      <w:r w:rsidRPr="002E418F">
        <w:rPr>
          <w:rFonts w:ascii="Times New Roman" w:eastAsia="Times New Roman" w:hAnsi="Times New Roman" w:cs="Courier New"/>
          <w:sz w:val="28"/>
          <w:szCs w:val="24"/>
          <w:highlight w:val="yellow"/>
          <w:lang w:val="en-US" w:eastAsia="uk-UA"/>
        </w:rPr>
        <w:t>iNTERNET</w:t>
      </w:r>
      <w:proofErr w:type="spellEnd"/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), короткий визначник метаморфічних гірських порід (табл.</w:t>
      </w:r>
      <w:r w:rsidR="002E418F"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А.1 ДОДАТКУ</w:t>
      </w: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) і ці методичні рекомендації.</w:t>
      </w:r>
    </w:p>
    <w:p w:rsidR="00263E6B" w:rsidRPr="002E418F" w:rsidRDefault="00263E6B" w:rsidP="002E41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Найважливішими діагностичними ознаками при макроскопічному описі і визначенні метаморфічних гірських порід </w:t>
      </w:r>
      <w:r w:rsid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(</w:t>
      </w:r>
      <w:r w:rsidR="002E418F" w:rsidRPr="002E418F">
        <w:rPr>
          <w:rFonts w:ascii="Times New Roman" w:eastAsia="Times New Roman" w:hAnsi="Times New Roman" w:cs="Courier New"/>
          <w:sz w:val="28"/>
          <w:szCs w:val="24"/>
          <w:highlight w:val="yellow"/>
          <w:lang w:val="uk-UA" w:eastAsia="uk-UA"/>
        </w:rPr>
        <w:t>НАЗВИ ПОРІД НАВЕДЕНО В ТАБЛИЦІ 17</w:t>
      </w:r>
      <w:r w:rsid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) </w:t>
      </w: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є їх забарвлення, структура, текстура, мінералогічний склад. На основі візуального огляду гірських порід студенти</w:t>
      </w:r>
      <w:r w:rsidRPr="002E418F">
        <w:rPr>
          <w:rFonts w:ascii="Times New Roman" w:eastAsia="Times New Roman" w:hAnsi="Times New Roman" w:cs="Courier New"/>
          <w:sz w:val="28"/>
          <w:szCs w:val="24"/>
          <w:lang w:eastAsia="uk-UA"/>
        </w:rPr>
        <w:t xml:space="preserve"> </w:t>
      </w: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визначають ці ознаки, а результати огляду заносять у відповідні графи таблиці 17.</w:t>
      </w:r>
    </w:p>
    <w:p w:rsidR="00263E6B" w:rsidRPr="002E418F" w:rsidRDefault="00263E6B" w:rsidP="002E41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lastRenderedPageBreak/>
        <w:t xml:space="preserve">Описані породи порівнюють із загальною характеристикою порід в короткому визначнику метаморфічних гірських порід (табл. </w:t>
      </w:r>
      <w:r w:rsidR="00906A08"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А.1</w:t>
      </w: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).</w:t>
      </w:r>
    </w:p>
    <w:p w:rsidR="00263E6B" w:rsidRPr="002E418F" w:rsidRDefault="00263E6B" w:rsidP="002E41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Колір порід визначають візуально і записують в </w:t>
      </w:r>
      <w:r w:rsidR="002E418F"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таблицю</w:t>
      </w: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.</w:t>
      </w:r>
    </w:p>
    <w:p w:rsidR="00263E6B" w:rsidRPr="002E418F" w:rsidRDefault="00263E6B" w:rsidP="002E41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При встановленні мінералогічного складу порівняно легко</w:t>
      </w:r>
      <w:r w:rsidR="002E418F"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діагностуються кварц, польові шпати, слюда, рогова обманка, олівін. Інші</w:t>
      </w:r>
      <w:r w:rsidR="002E418F"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мінерали визначаються важче.</w:t>
      </w:r>
    </w:p>
    <w:p w:rsidR="00263E6B" w:rsidRPr="002E418F" w:rsidRDefault="00263E6B" w:rsidP="002E41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val="uk-UA" w:eastAsia="ru-RU"/>
        </w:rPr>
      </w:pP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Основні структури і текстури визначаються легко, оскільки в колекції</w:t>
      </w:r>
      <w:r w:rsidR="002E418F"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 xml:space="preserve"> </w:t>
      </w:r>
      <w:r w:rsidRPr="002E418F">
        <w:rPr>
          <w:rFonts w:ascii="Times New Roman" w:eastAsia="Times New Roman" w:hAnsi="Times New Roman" w:cs="Courier New"/>
          <w:sz w:val="28"/>
          <w:szCs w:val="24"/>
          <w:lang w:val="uk-UA" w:eastAsia="uk-UA"/>
        </w:rPr>
        <w:t>структура цих порід кристалічна, текстура сланцювата, гнейсова і масивна.</w:t>
      </w:r>
    </w:p>
    <w:p w:rsidR="00996CF3" w:rsidRPr="002E418F" w:rsidRDefault="002E418F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E418F">
        <w:rPr>
          <w:rFonts w:ascii="Times New Roman" w:hAnsi="Times New Roman"/>
          <w:sz w:val="28"/>
          <w:lang w:val="uk-UA"/>
        </w:rPr>
        <w:t>В Примітках в</w:t>
      </w:r>
      <w:r w:rsidR="00263E6B" w:rsidRPr="002E418F">
        <w:rPr>
          <w:rFonts w:ascii="Times New Roman" w:hAnsi="Times New Roman"/>
          <w:sz w:val="28"/>
          <w:lang w:val="uk-UA"/>
        </w:rPr>
        <w:t>ідмічаються</w:t>
      </w:r>
      <w:r w:rsidR="00996CF3" w:rsidRPr="002E418F">
        <w:rPr>
          <w:rFonts w:ascii="Times New Roman" w:hAnsi="Times New Roman"/>
          <w:sz w:val="28"/>
          <w:lang w:val="uk-UA"/>
        </w:rPr>
        <w:t xml:space="preserve"> характерні індивідуальні ознаки породи:</w:t>
      </w:r>
    </w:p>
    <w:p w:rsidR="00996CF3" w:rsidRPr="002E418F" w:rsidRDefault="00996CF3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E418F">
        <w:rPr>
          <w:rFonts w:ascii="Times New Roman" w:hAnsi="Times New Roman"/>
          <w:sz w:val="28"/>
          <w:lang w:val="uk-UA"/>
        </w:rPr>
        <w:t>- реакція з соляною кислотою в шматку і порошку;</w:t>
      </w:r>
    </w:p>
    <w:p w:rsidR="00996CF3" w:rsidRPr="002E418F" w:rsidRDefault="00996CF3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E418F">
        <w:rPr>
          <w:rFonts w:ascii="Times New Roman" w:hAnsi="Times New Roman"/>
          <w:sz w:val="28"/>
          <w:lang w:val="uk-UA"/>
        </w:rPr>
        <w:t>- висока або низька твердість породи;</w:t>
      </w:r>
    </w:p>
    <w:p w:rsidR="00996CF3" w:rsidRPr="002E418F" w:rsidRDefault="00996CF3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E418F">
        <w:rPr>
          <w:rFonts w:ascii="Times New Roman" w:hAnsi="Times New Roman"/>
          <w:sz w:val="28"/>
          <w:lang w:val="uk-UA"/>
        </w:rPr>
        <w:t>- характер зламу породи (зернистий, раковистий, гладкий);</w:t>
      </w:r>
    </w:p>
    <w:p w:rsidR="00996CF3" w:rsidRPr="002E418F" w:rsidRDefault="00996CF3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E418F">
        <w:rPr>
          <w:rFonts w:ascii="Times New Roman" w:hAnsi="Times New Roman"/>
          <w:sz w:val="28"/>
          <w:lang w:val="uk-UA"/>
        </w:rPr>
        <w:t>- плитчасту або гофрований вигляд породи;</w:t>
      </w:r>
    </w:p>
    <w:p w:rsidR="00996CF3" w:rsidRPr="002E418F" w:rsidRDefault="00996CF3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E418F">
        <w:rPr>
          <w:rFonts w:ascii="Times New Roman" w:hAnsi="Times New Roman"/>
          <w:sz w:val="28"/>
          <w:lang w:val="uk-UA"/>
        </w:rPr>
        <w:t>- особливості мінерального складу породи (</w:t>
      </w:r>
      <w:proofErr w:type="spellStart"/>
      <w:r w:rsidRPr="002E418F">
        <w:rPr>
          <w:rFonts w:ascii="Times New Roman" w:hAnsi="Times New Roman"/>
          <w:sz w:val="28"/>
          <w:lang w:val="uk-UA"/>
        </w:rPr>
        <w:t>моно</w:t>
      </w:r>
      <w:proofErr w:type="spellEnd"/>
      <w:r w:rsidRPr="002E418F">
        <w:rPr>
          <w:rFonts w:ascii="Times New Roman" w:hAnsi="Times New Roman"/>
          <w:sz w:val="28"/>
          <w:lang w:val="uk-UA"/>
        </w:rPr>
        <w:t xml:space="preserve">- або </w:t>
      </w:r>
      <w:proofErr w:type="spellStart"/>
      <w:r w:rsidRPr="002E418F">
        <w:rPr>
          <w:rFonts w:ascii="Times New Roman" w:hAnsi="Times New Roman"/>
          <w:sz w:val="28"/>
          <w:lang w:val="uk-UA"/>
        </w:rPr>
        <w:t>полімінеральна</w:t>
      </w:r>
      <w:proofErr w:type="spellEnd"/>
      <w:r w:rsidRPr="002E418F">
        <w:rPr>
          <w:rFonts w:ascii="Times New Roman" w:hAnsi="Times New Roman"/>
          <w:sz w:val="28"/>
          <w:lang w:val="uk-UA"/>
        </w:rPr>
        <w:t>: присутність граната, азбесту, рудних мінералів).</w:t>
      </w:r>
    </w:p>
    <w:p w:rsidR="00411295" w:rsidRPr="002E418F" w:rsidRDefault="00996CF3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E418F">
        <w:rPr>
          <w:rFonts w:ascii="Times New Roman" w:hAnsi="Times New Roman"/>
          <w:sz w:val="28"/>
          <w:lang w:val="uk-UA"/>
        </w:rPr>
        <w:t>Відзначається за можливості вихідна, первинна порода (магматична або осадова), що перетворилася в дану метаморфічну, а також тип метаморфізму, в результаті якого утворилася дана порода, так як її назва і властивості невіддільні від походження.</w:t>
      </w:r>
    </w:p>
    <w:p w:rsidR="00411295" w:rsidRPr="002E418F" w:rsidRDefault="00411295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F4717" w:rsidRPr="002E418F" w:rsidRDefault="006F4717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F4717" w:rsidRPr="002E418F" w:rsidRDefault="006F4717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F4717" w:rsidRPr="002E418F" w:rsidRDefault="006F4717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F4717" w:rsidRPr="002E418F" w:rsidRDefault="006F4717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F4717" w:rsidRPr="002E418F" w:rsidRDefault="006F4717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F4717" w:rsidRPr="002E418F" w:rsidRDefault="006F4717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F4717" w:rsidRPr="002E418F" w:rsidRDefault="006F4717" w:rsidP="002E418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F4717" w:rsidRDefault="006F4717" w:rsidP="008F3AB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br w:type="page"/>
      </w:r>
    </w:p>
    <w:p w:rsidR="006F4717" w:rsidRDefault="006F4717" w:rsidP="008F3AB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  <w:sectPr w:rsidR="006F4717" w:rsidSect="008F3AB9">
          <w:pgSz w:w="11909" w:h="16834" w:code="9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6F4717" w:rsidRPr="002E418F" w:rsidRDefault="006F4717" w:rsidP="006F4717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418F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Таблиця 17</w:t>
      </w:r>
    </w:p>
    <w:p w:rsidR="006F4717" w:rsidRPr="002E418F" w:rsidRDefault="006F4717" w:rsidP="006F4717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E418F">
        <w:rPr>
          <w:rFonts w:ascii="Times New Roman" w:hAnsi="Times New Roman"/>
          <w:b/>
          <w:sz w:val="24"/>
          <w:szCs w:val="24"/>
          <w:lang w:val="uk-UA"/>
        </w:rPr>
        <w:t>Структурні та текстурні особливості метаморфічних гірських порід</w:t>
      </w:r>
    </w:p>
    <w:tbl>
      <w:tblPr>
        <w:tblW w:w="146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843"/>
        <w:gridCol w:w="1843"/>
        <w:gridCol w:w="1559"/>
        <w:gridCol w:w="1701"/>
        <w:gridCol w:w="1980"/>
        <w:gridCol w:w="1847"/>
        <w:gridCol w:w="2127"/>
      </w:tblGrid>
      <w:tr w:rsidR="00EE5A7C" w:rsidRPr="002E418F" w:rsidTr="00EE5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Колір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Мінералог.</w:t>
            </w:r>
          </w:p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Текстура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Група і підгрупа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породи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Використання в будівництві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EE5A7C" w:rsidRPr="002E418F" w:rsidTr="00EE5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роговик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GoBack"/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5A7C" w:rsidRPr="002E418F" w:rsidTr="00EE5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скарн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5A7C" w:rsidRPr="002E418F" w:rsidTr="00EE5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мармур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5A7C" w:rsidRPr="002E418F" w:rsidTr="00EE5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кварцит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5A7C" w:rsidRPr="002E418F" w:rsidTr="00EE5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серпентиніт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4717" w:rsidRPr="002E418F" w:rsidTr="00EE5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EE5A7C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амфіболіт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4717" w:rsidRPr="002E418F" w:rsidTr="00EE5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EE5A7C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гнейс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4717" w:rsidRPr="002E418F" w:rsidTr="00EE5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EE5A7C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яшма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4717" w:rsidRPr="002E418F" w:rsidTr="00EE5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EE5A7C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сланець хлорит-</w:t>
            </w:r>
            <w:proofErr w:type="spellStart"/>
            <w:r w:rsidRPr="002E418F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серицитовий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717" w:rsidRPr="002E418F" w:rsidRDefault="006F4717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6CF3" w:rsidRPr="002E418F" w:rsidTr="00EE5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CF3" w:rsidRPr="002E418F" w:rsidRDefault="002E418F" w:rsidP="006F4717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CF3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CF3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CF3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CF3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CF3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CF3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E418F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філіт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CF3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CF3" w:rsidRPr="002E418F" w:rsidRDefault="00996CF3" w:rsidP="00EE5A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47EB2" w:rsidRPr="00C47EB2" w:rsidRDefault="00C47EB2" w:rsidP="00C47EB2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b/>
          <w:i/>
          <w:sz w:val="28"/>
          <w:lang w:val="uk-UA"/>
        </w:rPr>
      </w:pPr>
      <w:r w:rsidRPr="00C47EB2">
        <w:rPr>
          <w:rFonts w:ascii="Times New Roman" w:hAnsi="Times New Roman"/>
          <w:b/>
          <w:i/>
          <w:sz w:val="28"/>
          <w:lang w:val="uk-UA"/>
        </w:rPr>
        <w:lastRenderedPageBreak/>
        <w:t>ДОДАТКИ</w:t>
      </w:r>
    </w:p>
    <w:p w:rsidR="00263E6B" w:rsidRDefault="005A3FD5" w:rsidP="00C47EB2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5A3FD5">
        <w:rPr>
          <w:rFonts w:ascii="Times New Roman" w:hAnsi="Times New Roman"/>
          <w:b/>
          <w:sz w:val="28"/>
          <w:lang w:val="uk-UA"/>
        </w:rPr>
        <w:t xml:space="preserve">Таблиця </w:t>
      </w:r>
      <w:r w:rsidR="00906A08">
        <w:rPr>
          <w:rFonts w:ascii="Times New Roman" w:hAnsi="Times New Roman"/>
          <w:b/>
          <w:sz w:val="28"/>
          <w:lang w:val="uk-UA"/>
        </w:rPr>
        <w:t>А.</w:t>
      </w:r>
      <w:r w:rsidRPr="005A3FD5">
        <w:rPr>
          <w:rFonts w:ascii="Times New Roman" w:hAnsi="Times New Roman"/>
          <w:b/>
          <w:sz w:val="28"/>
          <w:lang w:val="uk-UA"/>
        </w:rPr>
        <w:t>1.</w:t>
      </w:r>
      <w:r w:rsidR="00263E6B" w:rsidRPr="005A3FD5">
        <w:rPr>
          <w:rFonts w:ascii="Times New Roman" w:hAnsi="Times New Roman"/>
          <w:b/>
          <w:sz w:val="28"/>
          <w:lang w:val="uk-UA"/>
        </w:rPr>
        <w:t xml:space="preserve"> Визначник групи метаморфічних гірських порід</w:t>
      </w:r>
    </w:p>
    <w:p w:rsidR="009D10BA" w:rsidRPr="005A3FD5" w:rsidRDefault="009D10BA" w:rsidP="00C47EB2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3686"/>
        <w:gridCol w:w="2268"/>
        <w:gridCol w:w="2268"/>
        <w:gridCol w:w="1701"/>
        <w:gridCol w:w="1843"/>
      </w:tblGrid>
      <w:tr w:rsidR="005A3FD5" w:rsidRPr="005A3FD5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/>
          <w:jc w:val="center"/>
        </w:trPr>
        <w:tc>
          <w:tcPr>
            <w:tcW w:w="1129" w:type="dxa"/>
            <w:shd w:val="clear" w:color="auto" w:fill="FFFFFF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Підгрупа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Мінералогічний</w:t>
            </w:r>
          </w:p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Колір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Структура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Текстура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</w:t>
            </w:r>
            <w:r w:rsidR="005A3FD5"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метаморфізму</w:t>
            </w:r>
          </w:p>
        </w:tc>
      </w:tr>
      <w:tr w:rsidR="005A3FD5" w:rsidRPr="005A3FD5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  <w:jc w:val="center"/>
        </w:trPr>
        <w:tc>
          <w:tcPr>
            <w:tcW w:w="1129" w:type="dxa"/>
            <w:shd w:val="clear" w:color="auto" w:fill="FFFFFF"/>
            <w:vAlign w:val="bottom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263E6B" w:rsidRPr="005A3FD5" w:rsidRDefault="00263E6B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872AE6" w:rsidRPr="005A3FD5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  <w:jc w:val="center"/>
        </w:trPr>
        <w:tc>
          <w:tcPr>
            <w:tcW w:w="1129" w:type="dxa"/>
            <w:vMerge w:val="restart"/>
            <w:shd w:val="clear" w:color="auto" w:fill="FFFFFF"/>
            <w:textDirection w:val="btLr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Сланцювата</w:t>
            </w:r>
          </w:p>
        </w:tc>
        <w:tc>
          <w:tcPr>
            <w:tcW w:w="1701" w:type="dxa"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Гнейс</w:t>
            </w:r>
          </w:p>
        </w:tc>
        <w:tc>
          <w:tcPr>
            <w:tcW w:w="3686" w:type="dxa"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Кварц, польовий шпат, слюда, рогова обманка, авгіт, амфіболіт</w:t>
            </w:r>
          </w:p>
        </w:tc>
        <w:tc>
          <w:tcPr>
            <w:tcW w:w="2268" w:type="dxa"/>
            <w:shd w:val="clear" w:color="auto" w:fill="FFFFFF"/>
          </w:tcPr>
          <w:p w:rsidR="009D10BA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Світло-сірий,</w:t>
            </w:r>
          </w:p>
          <w:p w:rsidR="009D10BA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темно-сірий,</w:t>
            </w:r>
          </w:p>
          <w:p w:rsidR="00872AE6" w:rsidRPr="005A3FD5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рожевий</w:t>
            </w:r>
          </w:p>
        </w:tc>
        <w:tc>
          <w:tcPr>
            <w:tcW w:w="2268" w:type="dxa"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Кристалічна, </w:t>
            </w:r>
            <w:proofErr w:type="spellStart"/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зернисто</w:t>
            </w:r>
            <w:proofErr w:type="spellEnd"/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-кристалічна</w:t>
            </w:r>
          </w:p>
        </w:tc>
        <w:tc>
          <w:tcPr>
            <w:tcW w:w="1701" w:type="dxa"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Сланцювата, гнейсова, очкова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9D10BA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10BA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10BA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Регіональний</w:t>
            </w:r>
          </w:p>
        </w:tc>
      </w:tr>
      <w:tr w:rsidR="00872AE6" w:rsidRPr="005A3FD5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/>
          <w:jc w:val="center"/>
        </w:trPr>
        <w:tc>
          <w:tcPr>
            <w:tcW w:w="1129" w:type="dxa"/>
            <w:vMerge/>
            <w:shd w:val="clear" w:color="auto" w:fill="FFFFFF"/>
            <w:vAlign w:val="bottom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Слюдяні</w:t>
            </w:r>
          </w:p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ланці</w:t>
            </w: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Слюда, кварц, хлорит, бувають домішки графіту та гранату</w:t>
            </w: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Світло-жовті,</w:t>
            </w:r>
          </w:p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чорно-бурі,</w:t>
            </w: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червоно</w:t>
            </w:r>
            <w:proofErr w:type="spellEnd"/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-сірий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Кристалічна, </w:t>
            </w:r>
            <w:proofErr w:type="spellStart"/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мілкозерниста</w:t>
            </w:r>
            <w:proofErr w:type="spellEnd"/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906A08" w:rsidRDefault="00906A08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Сланцювата</w:t>
            </w:r>
          </w:p>
        </w:tc>
        <w:tc>
          <w:tcPr>
            <w:tcW w:w="1843" w:type="dxa"/>
            <w:vMerge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2AE6" w:rsidRPr="005A3FD5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/>
          <w:jc w:val="center"/>
        </w:trPr>
        <w:tc>
          <w:tcPr>
            <w:tcW w:w="1129" w:type="dxa"/>
            <w:vMerge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Хлористі</w:t>
            </w: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сланці</w:t>
            </w:r>
          </w:p>
        </w:tc>
        <w:tc>
          <w:tcPr>
            <w:tcW w:w="3686" w:type="dxa"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Хлорит, інколи з домішками кварцу, талька, слюди, магнетиту</w:t>
            </w:r>
          </w:p>
        </w:tc>
        <w:tc>
          <w:tcPr>
            <w:tcW w:w="2268" w:type="dxa"/>
            <w:shd w:val="clear" w:color="auto" w:fill="FFFFFF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Світло-зелені,</w:t>
            </w: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темно-зелені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Мілкокристалічна</w:t>
            </w:r>
            <w:proofErr w:type="spellEnd"/>
          </w:p>
          <w:p w:rsidR="009D10BA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Сланцювата, плойчата</w:t>
            </w:r>
          </w:p>
          <w:p w:rsidR="009D10BA" w:rsidRPr="005A3FD5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2AE6" w:rsidRPr="005A3FD5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  <w:jc w:val="center"/>
        </w:trPr>
        <w:tc>
          <w:tcPr>
            <w:tcW w:w="1129" w:type="dxa"/>
            <w:vMerge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Талькові</w:t>
            </w: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сланці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Тальк у вигляді дрібних листочків з домішками кварцу, хлориту та слюди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Сірувато-зелені,</w:t>
            </w: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бурі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Кристалічна</w:t>
            </w:r>
          </w:p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Сланцювата, плойчата</w:t>
            </w: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9D10BA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10BA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Регіональний</w:t>
            </w:r>
          </w:p>
        </w:tc>
      </w:tr>
      <w:tr w:rsidR="00872AE6" w:rsidRPr="005A3FD5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/>
          <w:jc w:val="center"/>
        </w:trPr>
        <w:tc>
          <w:tcPr>
            <w:tcW w:w="1129" w:type="dxa"/>
            <w:vMerge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Філіти (глинисті - слюдяні)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Слюда, кварц, польовий шпат, хлорит і домішки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Зелений, чорний, сірий, червоний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Кристалічна</w:t>
            </w:r>
          </w:p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A08" w:rsidRDefault="00906A08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Сланцювата</w:t>
            </w: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2AE6" w:rsidRPr="005A3FD5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/>
          <w:jc w:val="center"/>
        </w:trPr>
        <w:tc>
          <w:tcPr>
            <w:tcW w:w="1129" w:type="dxa"/>
            <w:vMerge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Глинистий сланець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Біотит, хлорит, серицит, кварц, різноманітні примішки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0BA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Чорний,</w:t>
            </w:r>
          </w:p>
          <w:p w:rsidR="009D10BA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сірий,</w:t>
            </w:r>
          </w:p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темно-зелений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Мікролуската</w:t>
            </w:r>
            <w:proofErr w:type="spellEnd"/>
          </w:p>
          <w:p w:rsidR="009D10BA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10BA" w:rsidRPr="005A3FD5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A08" w:rsidRDefault="00906A08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Сланцювата</w:t>
            </w:r>
          </w:p>
          <w:p w:rsidR="009D10BA" w:rsidRPr="005A3FD5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Регіональний, динамічний</w:t>
            </w:r>
          </w:p>
        </w:tc>
      </w:tr>
      <w:tr w:rsidR="00872AE6" w:rsidRPr="005A3FD5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  <w:jc w:val="center"/>
        </w:trPr>
        <w:tc>
          <w:tcPr>
            <w:tcW w:w="1129" w:type="dxa"/>
            <w:vMerge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Амфіболіт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Рогова обманка, плагіоклаз, кварц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Темно-зелений, зеленувато-сірий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Зернисто</w:t>
            </w:r>
            <w:proofErr w:type="spellEnd"/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-кристалічна</w:t>
            </w:r>
          </w:p>
          <w:p w:rsidR="009D10BA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10BA" w:rsidRPr="005A3FD5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E6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Сланцювата, масивна</w:t>
            </w:r>
          </w:p>
          <w:p w:rsidR="009D10BA" w:rsidRPr="005A3FD5" w:rsidRDefault="009D10BA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FFFFFF"/>
          </w:tcPr>
          <w:p w:rsidR="00872AE6" w:rsidRPr="005A3FD5" w:rsidRDefault="00872AE6" w:rsidP="005A3FD5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3FD5">
              <w:rPr>
                <w:rFonts w:ascii="Times New Roman" w:hAnsi="Times New Roman"/>
                <w:sz w:val="24"/>
                <w:szCs w:val="24"/>
                <w:lang w:val="uk-UA"/>
              </w:rPr>
              <w:t>Регіональний</w:t>
            </w:r>
          </w:p>
        </w:tc>
      </w:tr>
    </w:tbl>
    <w:p w:rsidR="00263E6B" w:rsidRDefault="00263E6B" w:rsidP="008F3AB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47EB2" w:rsidRPr="00906A08" w:rsidRDefault="00C47EB2" w:rsidP="00C47EB2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b/>
          <w:i/>
          <w:sz w:val="28"/>
          <w:lang w:val="uk-UA"/>
        </w:rPr>
      </w:pPr>
      <w:r w:rsidRPr="00906A08">
        <w:rPr>
          <w:rFonts w:ascii="Times New Roman" w:hAnsi="Times New Roman"/>
          <w:b/>
          <w:i/>
          <w:sz w:val="28"/>
          <w:lang w:val="uk-UA"/>
        </w:rPr>
        <w:lastRenderedPageBreak/>
        <w:t>Продовження табл.</w:t>
      </w:r>
      <w:r w:rsidR="00906A08" w:rsidRPr="00906A08">
        <w:rPr>
          <w:rFonts w:ascii="Times New Roman" w:hAnsi="Times New Roman"/>
          <w:b/>
          <w:i/>
          <w:sz w:val="28"/>
          <w:lang w:val="uk-UA"/>
        </w:rPr>
        <w:t>А</w:t>
      </w:r>
      <w:r w:rsidRPr="00906A08">
        <w:rPr>
          <w:rFonts w:ascii="Times New Roman" w:hAnsi="Times New Roman"/>
          <w:b/>
          <w:i/>
          <w:sz w:val="28"/>
          <w:lang w:val="uk-UA"/>
        </w:rPr>
        <w:t>.</w:t>
      </w:r>
      <w:r w:rsidR="00906A08" w:rsidRPr="00906A08">
        <w:rPr>
          <w:rFonts w:ascii="Times New Roman" w:hAnsi="Times New Roman"/>
          <w:b/>
          <w:i/>
          <w:sz w:val="28"/>
          <w:lang w:val="uk-UA"/>
        </w:rPr>
        <w:t>1</w:t>
      </w:r>
    </w:p>
    <w:tbl>
      <w:tblPr>
        <w:tblW w:w="1460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3686"/>
        <w:gridCol w:w="2126"/>
        <w:gridCol w:w="2410"/>
        <w:gridCol w:w="1701"/>
        <w:gridCol w:w="1843"/>
      </w:tblGrid>
      <w:tr w:rsidR="00C47EB2" w:rsidRPr="009D10BA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7EB2" w:rsidRPr="009D10BA" w:rsidRDefault="00C47EB2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10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7EB2" w:rsidRPr="009D10BA" w:rsidRDefault="00C47EB2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10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7EB2" w:rsidRPr="009D10BA" w:rsidRDefault="00C47EB2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10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7EB2" w:rsidRPr="009D10BA" w:rsidRDefault="00C47EB2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10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7EB2" w:rsidRPr="009D10BA" w:rsidRDefault="00C47EB2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10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7EB2" w:rsidRPr="009D10BA" w:rsidRDefault="00C47EB2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10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7EB2" w:rsidRPr="009D10BA" w:rsidRDefault="00C47EB2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10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906A08" w:rsidRPr="00C47EB2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extDirection w:val="btLr"/>
          </w:tcPr>
          <w:p w:rsidR="00906A08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Масивна (несланцювата)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Мармур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6A08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Кальцит, доломіт, магнезит</w:t>
            </w:r>
          </w:p>
          <w:p w:rsidR="00906A08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Біл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рожевий,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сірий, блакитний,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чорний (рідко)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Кристалічно</w:t>
            </w:r>
            <w:proofErr w:type="spellEnd"/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-зерниста,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зерниста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Масивна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Регіональний,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контактовий</w:t>
            </w:r>
          </w:p>
        </w:tc>
      </w:tr>
      <w:tr w:rsidR="00906A08" w:rsidRPr="00C47EB2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/>
        </w:trPr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textDirection w:val="btLr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Кварцит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6A08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Кварц з домішками слюди,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хлориту та ін. мінералів</w:t>
            </w:r>
          </w:p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Білий, рожевий,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сірий, жовтий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Кристалічно</w:t>
            </w:r>
            <w:proofErr w:type="spellEnd"/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-зерниста,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зерниста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Масивна,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сланцювата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6A08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Регіональний</w:t>
            </w:r>
          </w:p>
        </w:tc>
      </w:tr>
      <w:tr w:rsidR="00906A08" w:rsidRPr="00C47EB2" w:rsidTr="0090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textDirection w:val="btLr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Роговики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Кварц, біотит, інколи польові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шпати, гранат, магнетит,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рогова обманка, андалузит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інші домішки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Сірий, темно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сірий, чорний,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рожево-сірий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Кристалічно</w:t>
            </w:r>
            <w:proofErr w:type="spellEnd"/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-зерниста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Масивна,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плямиста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A08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A08" w:rsidRPr="00C47EB2" w:rsidRDefault="00906A08" w:rsidP="00C47EB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EB2">
              <w:rPr>
                <w:rFonts w:ascii="Times New Roman" w:hAnsi="Times New Roman"/>
                <w:sz w:val="24"/>
                <w:szCs w:val="24"/>
                <w:lang w:val="uk-UA"/>
              </w:rPr>
              <w:t>Контактовий</w:t>
            </w:r>
          </w:p>
        </w:tc>
      </w:tr>
      <w:tr w:rsidR="00906A08" w:rsidRPr="00906A08" w:rsidTr="00906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6A08" w:rsidRPr="00906A08" w:rsidRDefault="00906A08" w:rsidP="009D10BA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Змійовики</w:t>
            </w:r>
            <w:r w:rsidRPr="00906A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(серпентин)</w:t>
            </w:r>
          </w:p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FFFFFF"/>
          </w:tcPr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Серпентин з домішками</w:t>
            </w:r>
            <w:r w:rsidRPr="0090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магнетиту та хроміту</w:t>
            </w:r>
          </w:p>
        </w:tc>
        <w:tc>
          <w:tcPr>
            <w:tcW w:w="2126" w:type="dxa"/>
            <w:shd w:val="clear" w:color="auto" w:fill="FFFFFF"/>
          </w:tcPr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Зелений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Кристалічно</w:t>
            </w:r>
            <w:proofErr w:type="spellEnd"/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-зерниста,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кристалічна</w:t>
            </w:r>
          </w:p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Масивна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Регіональний</w:t>
            </w:r>
          </w:p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6A08" w:rsidRPr="00906A08" w:rsidTr="00906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6A08" w:rsidRPr="00906A08" w:rsidRDefault="00906A08" w:rsidP="009D10BA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Скарни</w:t>
            </w:r>
          </w:p>
          <w:p w:rsid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A08" w:rsidRPr="00906A08" w:rsidRDefault="00906A08" w:rsidP="00906A0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:rsid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Гранат, піроксен, плагіоклаз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деякі інші </w:t>
            </w:r>
            <w:proofErr w:type="spellStart"/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вапняно</w:t>
            </w:r>
            <w:proofErr w:type="spellEnd"/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-залізисті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силікати</w:t>
            </w:r>
          </w:p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Темно-сірий,</w:t>
            </w:r>
          </w:p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чорний</w:t>
            </w:r>
          </w:p>
        </w:tc>
        <w:tc>
          <w:tcPr>
            <w:tcW w:w="2410" w:type="dxa"/>
            <w:shd w:val="clear" w:color="auto" w:fill="FFFFFF"/>
          </w:tcPr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Кристалічно</w:t>
            </w:r>
            <w:proofErr w:type="spellEnd"/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-зерниста</w:t>
            </w:r>
          </w:p>
        </w:tc>
        <w:tc>
          <w:tcPr>
            <w:tcW w:w="1701" w:type="dxa"/>
            <w:shd w:val="clear" w:color="auto" w:fill="FFFFFF"/>
          </w:tcPr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Масивна,</w:t>
            </w:r>
          </w:p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безладна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Пневматоліто</w:t>
            </w:r>
            <w:proofErr w:type="spellEnd"/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-гідротермаль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ний</w:t>
            </w:r>
          </w:p>
        </w:tc>
      </w:tr>
      <w:tr w:rsidR="00906A08" w:rsidRPr="00906A08" w:rsidTr="00906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6A08" w:rsidRPr="00906A08" w:rsidRDefault="00906A08" w:rsidP="009D10BA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Грейзен</w:t>
            </w:r>
          </w:p>
          <w:p w:rsid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shd w:val="clear" w:color="auto" w:fill="FFFFFF"/>
          </w:tcPr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Кварц, слюда, турмалін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Білий, світло-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жовтий, світло-коричневий</w:t>
            </w:r>
          </w:p>
        </w:tc>
        <w:tc>
          <w:tcPr>
            <w:tcW w:w="2410" w:type="dxa"/>
            <w:shd w:val="clear" w:color="auto" w:fill="FFFFFF"/>
          </w:tcPr>
          <w:p w:rsid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Кристалічна,</w:t>
            </w:r>
          </w:p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зерниста</w:t>
            </w:r>
          </w:p>
        </w:tc>
        <w:tc>
          <w:tcPr>
            <w:tcW w:w="1701" w:type="dxa"/>
            <w:shd w:val="clear" w:color="auto" w:fill="FFFFFF"/>
          </w:tcPr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Масивна,</w:t>
            </w:r>
          </w:p>
          <w:p w:rsidR="00906A08" w:rsidRPr="00906A08" w:rsidRDefault="00906A08" w:rsidP="00906A0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A08">
              <w:rPr>
                <w:rFonts w:ascii="Times New Roman" w:hAnsi="Times New Roman"/>
                <w:sz w:val="24"/>
                <w:szCs w:val="24"/>
                <w:lang w:val="uk-UA"/>
              </w:rPr>
              <w:t>безладна</w:t>
            </w:r>
          </w:p>
        </w:tc>
        <w:tc>
          <w:tcPr>
            <w:tcW w:w="1843" w:type="dxa"/>
            <w:vMerge/>
            <w:shd w:val="clear" w:color="auto" w:fill="FFFFFF"/>
            <w:vAlign w:val="bottom"/>
          </w:tcPr>
          <w:p w:rsidR="00906A08" w:rsidRPr="00906A08" w:rsidRDefault="00906A08" w:rsidP="009D10BA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63E6B" w:rsidRDefault="00263E6B" w:rsidP="008F3AB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F4717" w:rsidRDefault="006F4717" w:rsidP="002E418F">
      <w:pPr>
        <w:widowControl w:val="0"/>
        <w:spacing w:after="0" w:line="276" w:lineRule="auto"/>
        <w:jc w:val="both"/>
        <w:rPr>
          <w:rFonts w:ascii="Times New Roman" w:hAnsi="Times New Roman"/>
          <w:sz w:val="28"/>
          <w:lang w:val="uk-UA"/>
        </w:rPr>
        <w:sectPr w:rsidR="006F4717" w:rsidSect="006F4717">
          <w:pgSz w:w="16834" w:h="11909" w:orient="landscape" w:code="9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6F4717" w:rsidRPr="008F3AB9" w:rsidRDefault="006F4717" w:rsidP="002E418F">
      <w:pPr>
        <w:widowControl w:val="0"/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</w:p>
    <w:sectPr w:rsidR="006F4717" w:rsidRPr="008F3AB9" w:rsidSect="008F3AB9">
      <w:pgSz w:w="11909" w:h="16834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4950"/>
    <w:multiLevelType w:val="hybridMultilevel"/>
    <w:tmpl w:val="6EBED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B7EC0"/>
    <w:multiLevelType w:val="hybridMultilevel"/>
    <w:tmpl w:val="B848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E251E"/>
    <w:multiLevelType w:val="hybridMultilevel"/>
    <w:tmpl w:val="97AAD846"/>
    <w:lvl w:ilvl="0" w:tplc="7CF2F0E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C10B21"/>
    <w:multiLevelType w:val="hybridMultilevel"/>
    <w:tmpl w:val="4448F0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9E"/>
    <w:rsid w:val="00263E6B"/>
    <w:rsid w:val="002E418F"/>
    <w:rsid w:val="0030755E"/>
    <w:rsid w:val="003110D8"/>
    <w:rsid w:val="00411295"/>
    <w:rsid w:val="00540E33"/>
    <w:rsid w:val="00564740"/>
    <w:rsid w:val="005A3FD5"/>
    <w:rsid w:val="006878EE"/>
    <w:rsid w:val="006B678C"/>
    <w:rsid w:val="006F4717"/>
    <w:rsid w:val="007130D2"/>
    <w:rsid w:val="00843632"/>
    <w:rsid w:val="00872AE6"/>
    <w:rsid w:val="008F3AB9"/>
    <w:rsid w:val="009029C8"/>
    <w:rsid w:val="00906A08"/>
    <w:rsid w:val="00996CF3"/>
    <w:rsid w:val="009D10BA"/>
    <w:rsid w:val="00C47EB2"/>
    <w:rsid w:val="00EE5A7C"/>
    <w:rsid w:val="00FA09DA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432A3-844C-4629-B3F3-6AAC706C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2</cp:revision>
  <dcterms:created xsi:type="dcterms:W3CDTF">2020-04-05T09:30:00Z</dcterms:created>
  <dcterms:modified xsi:type="dcterms:W3CDTF">2020-04-05T13:13:00Z</dcterms:modified>
</cp:coreProperties>
</file>