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119"/>
        <w:tblW w:w="9870" w:type="dxa"/>
        <w:tblLayout w:type="fixed"/>
        <w:tblLook w:val="04A0" w:firstRow="1" w:lastRow="0" w:firstColumn="1" w:lastColumn="0" w:noHBand="0" w:noVBand="1"/>
      </w:tblPr>
      <w:tblGrid>
        <w:gridCol w:w="1525"/>
        <w:gridCol w:w="3686"/>
        <w:gridCol w:w="2127"/>
        <w:gridCol w:w="2532"/>
      </w:tblGrid>
      <w:tr w:rsidR="00BF2CA3" w:rsidRPr="00970F05" w:rsidTr="00BF2CA3">
        <w:trPr>
          <w:trHeight w:val="271"/>
        </w:trPr>
        <w:tc>
          <w:tcPr>
            <w:tcW w:w="9870" w:type="dxa"/>
            <w:gridSpan w:val="4"/>
          </w:tcPr>
          <w:p w:rsidR="00BF2CA3" w:rsidRPr="00970F05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Стратегія сталого розвитку 116 м група</w:t>
            </w:r>
          </w:p>
        </w:tc>
      </w:tr>
      <w:tr w:rsidR="00BF2CA3" w:rsidRPr="00970F05" w:rsidTr="00052A09">
        <w:trPr>
          <w:trHeight w:val="1372"/>
        </w:trPr>
        <w:tc>
          <w:tcPr>
            <w:tcW w:w="1525" w:type="dxa"/>
          </w:tcPr>
          <w:p w:rsidR="00BF2CA3" w:rsidRPr="00107A41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686" w:type="dxa"/>
          </w:tcPr>
          <w:p w:rsidR="00BF2CA3" w:rsidRDefault="00FF6AD0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127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32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Pr="008E2B2D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BF2CA3" w:rsidRPr="00954A23" w:rsidRDefault="00DC64BB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BF2CA3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F6AD0" w:rsidRPr="00970F05" w:rsidTr="00052A09">
        <w:trPr>
          <w:trHeight w:val="1372"/>
        </w:trPr>
        <w:tc>
          <w:tcPr>
            <w:tcW w:w="1525" w:type="dxa"/>
          </w:tcPr>
          <w:p w:rsidR="00FF6AD0" w:rsidRPr="00FF6AD0" w:rsidRDefault="00FF6AD0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AD0"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3686" w:type="dxa"/>
          </w:tcPr>
          <w:p w:rsidR="00FF6AD0" w:rsidRDefault="00FF6AD0" w:rsidP="00BF2CA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F6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Індикатори сталого розвитку</w:t>
            </w:r>
          </w:p>
          <w:p w:rsidR="00FF6AD0" w:rsidRDefault="005467E7" w:rsidP="00BF2CA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="00FF6AD0" w:rsidRPr="00FF6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лан</w:t>
            </w:r>
          </w:p>
          <w:p w:rsidR="00FF6AD0" w:rsidRPr="00FF6AD0" w:rsidRDefault="00FF6AD0" w:rsidP="00FF6AD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F6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Pr="00FF6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</w:t>
            </w:r>
            <w:r w:rsidRPr="00FF6A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Індикатори споживання води.</w:t>
            </w:r>
          </w:p>
          <w:p w:rsidR="00FF6AD0" w:rsidRPr="00FF6AD0" w:rsidRDefault="00FF6AD0" w:rsidP="00FF6AD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F6A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  <w:r w:rsidRPr="00FF6AD0">
              <w:rPr>
                <w:sz w:val="20"/>
                <w:szCs w:val="20"/>
              </w:rPr>
              <w:t xml:space="preserve"> </w:t>
            </w:r>
            <w:r w:rsidRPr="00FF6A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Індикатори споживання енергії. </w:t>
            </w:r>
          </w:p>
          <w:p w:rsidR="00FF6AD0" w:rsidRDefault="00FF6AD0" w:rsidP="00FF6AD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F6A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 Індикатори випущених відходів.</w:t>
            </w:r>
          </w:p>
          <w:p w:rsidR="00580986" w:rsidRPr="00FF6AD0" w:rsidRDefault="00580986" w:rsidP="00FF6AD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4. Індикатор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біорізноманіття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127" w:type="dxa"/>
          </w:tcPr>
          <w:p w:rsidR="006F0066" w:rsidRPr="006F0066" w:rsidRDefault="006F0066" w:rsidP="006F006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6F0066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 вибір здобувача:</w:t>
            </w:r>
          </w:p>
          <w:p w:rsidR="006F0066" w:rsidRPr="006F0066" w:rsidRDefault="006F0066" w:rsidP="006F006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6F0066" w:rsidRPr="006F0066" w:rsidRDefault="006F0066" w:rsidP="006F0066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1. написання реферату-огляду</w:t>
            </w:r>
            <w:r w:rsidRPr="006F006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val="uk-UA"/>
              </w:rPr>
              <w:footnoteReference w:id="1"/>
            </w:r>
            <w:r w:rsidRPr="006F006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  <w:t xml:space="preserve"> </w:t>
            </w:r>
            <w:r w:rsidRPr="006F006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за темою лекції відповідно до плану;</w:t>
            </w:r>
          </w:p>
          <w:p w:rsidR="006F0066" w:rsidRPr="006F0066" w:rsidRDefault="006F0066" w:rsidP="006F0066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F006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2. складання тематичної схем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и, що узагальнює зміст (довільно,</w:t>
            </w:r>
            <w:r w:rsidRPr="006F006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по суті);</w:t>
            </w:r>
          </w:p>
          <w:p w:rsidR="00FF6AD0" w:rsidRPr="00FF6AD0" w:rsidRDefault="00052A09" w:rsidP="006F0066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3. на</w:t>
            </w:r>
            <w:r w:rsidR="00BC276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дання відповідей на питання д</w:t>
            </w:r>
            <w:r w:rsidR="00BC27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само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тійного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вивчення</w:t>
            </w:r>
            <w:r w:rsidR="006F0066" w:rsidRPr="006F006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532" w:type="dxa"/>
          </w:tcPr>
          <w:p w:rsidR="00FF6AD0" w:rsidRDefault="00FF6AD0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AD0"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  <w:p w:rsidR="00FF6AD0" w:rsidRPr="00FF6AD0" w:rsidRDefault="00FF6AD0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AD0" w:rsidRPr="00FF6AD0" w:rsidRDefault="00FF6AD0" w:rsidP="00FF6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4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Максимальна к</w:t>
            </w:r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 балів – 5 (табл. 1).</w:t>
            </w:r>
          </w:p>
        </w:tc>
      </w:tr>
      <w:tr w:rsidR="00FF6AD0" w:rsidRPr="00970F05" w:rsidTr="00052A09">
        <w:trPr>
          <w:trHeight w:val="1372"/>
        </w:trPr>
        <w:tc>
          <w:tcPr>
            <w:tcW w:w="1525" w:type="dxa"/>
          </w:tcPr>
          <w:p w:rsidR="00FF6AD0" w:rsidRPr="00107A41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686" w:type="dxa"/>
          </w:tcPr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127" w:type="dxa"/>
          </w:tcPr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32" w:type="dxa"/>
          </w:tcPr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6AD0" w:rsidRPr="008E2B2D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F6AD0" w:rsidRPr="00954A23" w:rsidRDefault="00DC64BB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10" w:history="1"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FF6AD0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F6AD0" w:rsidRPr="00970F05" w:rsidTr="00052A09">
        <w:trPr>
          <w:trHeight w:val="1395"/>
        </w:trPr>
        <w:tc>
          <w:tcPr>
            <w:tcW w:w="1525" w:type="dxa"/>
          </w:tcPr>
          <w:p w:rsidR="00FF6AD0" w:rsidRPr="003E6B9C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3E6B9C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686" w:type="dxa"/>
          </w:tcPr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64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Проектування полігону із знешкоджування токсичних промислових відходів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D32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(4 години)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2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FF6AD0" w:rsidRPr="001236DB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Послідовність виконання роботи</w:t>
            </w:r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FF6AD0" w:rsidRDefault="00FF6AD0" w:rsidP="00FF6AD0">
            <w:pPr>
              <w:tabs>
                <w:tab w:val="left" w:pos="6946"/>
              </w:tabs>
              <w:jc w:val="both"/>
              <w:rPr>
                <w:lang w:val="uk-UA"/>
              </w:rPr>
            </w:pPr>
            <w:r w:rsidRPr="009E5C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Ознайомитися з </w:t>
            </w:r>
            <w:r w:rsidRPr="009E5C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остями про проектування полігонів із знешкоджування токсичних промислових </w:t>
            </w:r>
            <w:r w:rsidRPr="009E5C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відходів</w:t>
            </w:r>
            <w:r>
              <w:rPr>
                <w:lang w:val="uk-UA"/>
              </w:rPr>
              <w:t>;</w:t>
            </w:r>
          </w:p>
          <w:p w:rsidR="00FF6AD0" w:rsidRPr="002D3246" w:rsidRDefault="00FF6AD0" w:rsidP="00FF6AD0">
            <w:pPr>
              <w:tabs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5C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Обґрунтувати вибір </w:t>
            </w:r>
            <w:r w:rsidRPr="009E5C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моделі полігону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127" w:type="dxa"/>
          </w:tcPr>
          <w:p w:rsidR="00FF6AD0" w:rsidRPr="002D3246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D324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Обґрунтування вибору моделі полігону із знешкоджування токсичних промислових відходів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відповідно до варіанту.</w:t>
            </w:r>
          </w:p>
        </w:tc>
        <w:tc>
          <w:tcPr>
            <w:tcW w:w="2532" w:type="dxa"/>
          </w:tcPr>
          <w:p w:rsidR="00FF6AD0" w:rsidRPr="002D3246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32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24.04.2020</w:t>
            </w:r>
          </w:p>
          <w:p w:rsidR="00FF6AD0" w:rsidRPr="002D3246" w:rsidRDefault="00FF6AD0" w:rsidP="00FF6AD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F6AD0" w:rsidRPr="002D3246" w:rsidRDefault="00FF6AD0" w:rsidP="00FF6AD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F6AD0" w:rsidRPr="002D3246" w:rsidRDefault="00FF6AD0" w:rsidP="00FF6AD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F6AD0" w:rsidRPr="00F34773" w:rsidRDefault="00FF6AD0" w:rsidP="00FF6A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324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Максимальна к</w:t>
            </w:r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 балів – 5 (табл. 1).</w:t>
            </w:r>
          </w:p>
        </w:tc>
      </w:tr>
    </w:tbl>
    <w:p w:rsidR="006F0066" w:rsidRDefault="006F0066" w:rsidP="006F0066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066" w:rsidRPr="006F0066" w:rsidRDefault="00BC2766" w:rsidP="006F0066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Рекомендації до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опрацювання</w:t>
      </w:r>
      <w:r w:rsidR="006F0066" w:rsidRPr="006F0066">
        <w:rPr>
          <w:rFonts w:ascii="Times New Roman" w:hAnsi="Times New Roman" w:cs="Times New Roman"/>
          <w:b/>
          <w:sz w:val="24"/>
          <w:szCs w:val="24"/>
        </w:rPr>
        <w:t xml:space="preserve"> лекційного матеріалу</w:t>
      </w:r>
    </w:p>
    <w:p w:rsidR="006F0066" w:rsidRPr="006F0066" w:rsidRDefault="006F0066" w:rsidP="006F0066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066" w:rsidRPr="006F0066" w:rsidRDefault="006F0066" w:rsidP="006F0066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0066">
        <w:rPr>
          <w:rFonts w:ascii="Times New Roman" w:hAnsi="Times New Roman" w:cs="Times New Roman"/>
          <w:sz w:val="24"/>
          <w:szCs w:val="24"/>
        </w:rPr>
        <w:t>Для успішного засвоєння теми необхідно:</w:t>
      </w:r>
    </w:p>
    <w:p w:rsidR="006F0066" w:rsidRPr="006F0066" w:rsidRDefault="006F0066" w:rsidP="006F006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066">
        <w:rPr>
          <w:rFonts w:ascii="Times New Roman" w:hAnsi="Times New Roman" w:cs="Times New Roman"/>
          <w:sz w:val="24"/>
          <w:szCs w:val="24"/>
        </w:rPr>
        <w:t>обрати одне завдання;</w:t>
      </w:r>
    </w:p>
    <w:p w:rsidR="006F0066" w:rsidRPr="006F0066" w:rsidRDefault="006F0066" w:rsidP="006F006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066">
        <w:rPr>
          <w:rFonts w:ascii="Times New Roman" w:hAnsi="Times New Roman" w:cs="Times New Roman"/>
          <w:sz w:val="24"/>
          <w:szCs w:val="24"/>
        </w:rPr>
        <w:t>за допомогою літературних джерел, що зазначені у с</w:t>
      </w:r>
      <w:r>
        <w:rPr>
          <w:rFonts w:ascii="Times New Roman" w:hAnsi="Times New Roman" w:cs="Times New Roman"/>
          <w:sz w:val="24"/>
          <w:szCs w:val="24"/>
        </w:rPr>
        <w:t>писку, написати реферат- огляд</w:t>
      </w:r>
      <w:r w:rsidRPr="006F0066">
        <w:rPr>
          <w:rFonts w:ascii="Times New Roman" w:hAnsi="Times New Roman" w:cs="Times New Roman"/>
          <w:sz w:val="24"/>
          <w:szCs w:val="24"/>
        </w:rPr>
        <w:t xml:space="preserve"> або скласти тематичну схему, або надати відповід</w:t>
      </w:r>
      <w:r w:rsidR="00BC2766">
        <w:rPr>
          <w:rFonts w:ascii="Times New Roman" w:hAnsi="Times New Roman" w:cs="Times New Roman"/>
          <w:sz w:val="24"/>
          <w:szCs w:val="24"/>
        </w:rPr>
        <w:t>і на питання д</w:t>
      </w:r>
      <w:r w:rsidR="00BC276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2A09">
        <w:rPr>
          <w:rFonts w:ascii="Times New Roman" w:hAnsi="Times New Roman" w:cs="Times New Roman"/>
          <w:sz w:val="24"/>
          <w:szCs w:val="24"/>
        </w:rPr>
        <w:t xml:space="preserve"> самостійного вивчення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066" w:rsidRPr="0073239B" w:rsidRDefault="00052A09" w:rsidP="006F0066">
      <w:pPr>
        <w:tabs>
          <w:tab w:val="left" w:pos="615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</w:t>
      </w:r>
      <w:proofErr w:type="spellStart"/>
      <w:r w:rsidR="00BC2766">
        <w:rPr>
          <w:rFonts w:ascii="Times New Roman" w:eastAsia="Calibri" w:hAnsi="Times New Roman" w:cs="Times New Roman"/>
          <w:b/>
          <w:sz w:val="24"/>
          <w:szCs w:val="24"/>
        </w:rPr>
        <w:t>итання</w:t>
      </w:r>
      <w:proofErr w:type="spellEnd"/>
      <w:r w:rsidR="00BC2766">
        <w:rPr>
          <w:rFonts w:ascii="Times New Roman" w:eastAsia="Calibri" w:hAnsi="Times New Roman" w:cs="Times New Roman"/>
          <w:b/>
          <w:sz w:val="24"/>
          <w:szCs w:val="24"/>
        </w:rPr>
        <w:t xml:space="preserve"> д</w:t>
      </w:r>
      <w:r w:rsidR="00BC276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самостійного вивчення</w:t>
      </w:r>
    </w:p>
    <w:p w:rsidR="00580986" w:rsidRDefault="0073239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3239B">
        <w:rPr>
          <w:rFonts w:ascii="Times New Roman" w:eastAsia="Calibri" w:hAnsi="Times New Roman" w:cs="Times New Roman"/>
          <w:sz w:val="24"/>
          <w:szCs w:val="24"/>
        </w:rPr>
        <w:t>П</w:t>
      </w:r>
      <w:r w:rsidR="00580986">
        <w:rPr>
          <w:rFonts w:ascii="Times New Roman" w:eastAsia="Calibri" w:hAnsi="Times New Roman" w:cs="Times New Roman"/>
          <w:sz w:val="24"/>
          <w:szCs w:val="24"/>
        </w:rPr>
        <w:t xml:space="preserve">оняття 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986">
        <w:rPr>
          <w:rFonts w:ascii="Times New Roman" w:eastAsia="Calibri" w:hAnsi="Times New Roman" w:cs="Times New Roman"/>
          <w:sz w:val="24"/>
          <w:szCs w:val="24"/>
        </w:rPr>
        <w:t>"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>індикатори сталого розвитку</w:t>
      </w:r>
      <w:r w:rsidR="00580986">
        <w:rPr>
          <w:rFonts w:ascii="Times New Roman" w:eastAsia="Calibri" w:hAnsi="Times New Roman" w:cs="Times New Roman"/>
          <w:sz w:val="24"/>
          <w:szCs w:val="24"/>
        </w:rPr>
        <w:t>".</w:t>
      </w:r>
    </w:p>
    <w:p w:rsidR="000D78DB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 xml:space="preserve">Історія розробки індикаторів сталого розвитку. </w:t>
      </w:r>
    </w:p>
    <w:p w:rsidR="000D78DB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Індикатори та індекси сталого 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 xml:space="preserve">розвитку України. </w:t>
      </w:r>
    </w:p>
    <w:p w:rsidR="000D78DB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>Взаємозв'язок індикаторів сталого розвитку із системою показник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ів Цілей 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 xml:space="preserve">розвитку тисячоліття та системою індикаторів Європейського союзу. </w:t>
      </w:r>
    </w:p>
    <w:p w:rsidR="00580986" w:rsidRPr="00580986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Моніторинг 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>сталого розвитку, його мета та об’єкт</w:t>
      </w:r>
    </w:p>
    <w:p w:rsidR="00580986" w:rsidRPr="00580986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5809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80986" w:rsidRPr="00580986">
        <w:rPr>
          <w:rFonts w:ascii="Times New Roman" w:eastAsia="Calibri" w:hAnsi="Times New Roman" w:cs="Times New Roman"/>
          <w:sz w:val="24"/>
          <w:szCs w:val="24"/>
        </w:rPr>
        <w:t>рикл</w:t>
      </w:r>
      <w:r w:rsidR="00580986">
        <w:rPr>
          <w:rFonts w:ascii="Times New Roman" w:eastAsia="Calibri" w:hAnsi="Times New Roman" w:cs="Times New Roman"/>
          <w:sz w:val="24"/>
          <w:szCs w:val="24"/>
        </w:rPr>
        <w:t>ади індикаторів довкілля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0986" w:rsidRDefault="00580986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580986">
        <w:rPr>
          <w:rFonts w:ascii="Times New Roman" w:eastAsia="Calibri" w:hAnsi="Times New Roman" w:cs="Times New Roman"/>
          <w:sz w:val="24"/>
          <w:szCs w:val="24"/>
        </w:rPr>
        <w:t>Інституційні індикатори.</w:t>
      </w:r>
    </w:p>
    <w:p w:rsidR="000D78DB" w:rsidRPr="000D78DB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78DB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r w:rsidRPr="000D78DB">
        <w:rPr>
          <w:rFonts w:ascii="Times New Roman" w:hAnsi="Times New Roman" w:cs="Times New Roman"/>
          <w:sz w:val="24"/>
          <w:szCs w:val="24"/>
        </w:rPr>
        <w:t xml:space="preserve">Індикаторний показник </w:t>
      </w:r>
      <w:r w:rsidRPr="000D78DB">
        <w:rPr>
          <w:rFonts w:ascii="Times New Roman" w:eastAsia="Calibri" w:hAnsi="Times New Roman" w:cs="Times New Roman"/>
          <w:sz w:val="24"/>
          <w:szCs w:val="24"/>
        </w:rPr>
        <w:t>використання природ</w:t>
      </w:r>
      <w:r>
        <w:rPr>
          <w:rFonts w:ascii="Times New Roman" w:eastAsia="Calibri" w:hAnsi="Times New Roman" w:cs="Times New Roman"/>
          <w:sz w:val="24"/>
          <w:szCs w:val="24"/>
        </w:rPr>
        <w:t>них ресурсів на одного мешканця.</w:t>
      </w:r>
      <w:r w:rsidRPr="000D78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78DB" w:rsidRPr="000D78DB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78DB">
        <w:rPr>
          <w:rFonts w:ascii="Times New Roman" w:hAnsi="Times New Roman" w:cs="Times New Roman"/>
          <w:sz w:val="24"/>
          <w:szCs w:val="24"/>
        </w:rPr>
        <w:t>9. Індикаторний показник</w:t>
      </w:r>
      <w:r w:rsidRPr="000D78DB">
        <w:rPr>
          <w:rFonts w:ascii="Times New Roman" w:eastAsia="Calibri" w:hAnsi="Times New Roman" w:cs="Times New Roman"/>
          <w:sz w:val="24"/>
          <w:szCs w:val="24"/>
        </w:rPr>
        <w:t xml:space="preserve"> виплат за </w:t>
      </w:r>
      <w:r>
        <w:rPr>
          <w:rFonts w:ascii="Times New Roman" w:eastAsia="Calibri" w:hAnsi="Times New Roman" w:cs="Times New Roman"/>
          <w:sz w:val="24"/>
          <w:szCs w:val="24"/>
        </w:rPr>
        <w:t>використання природних ресурсів.</w:t>
      </w:r>
      <w:r w:rsidRPr="000D78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78DB" w:rsidRPr="00580986" w:rsidRDefault="000D78DB" w:rsidP="00580986">
      <w:pPr>
        <w:tabs>
          <w:tab w:val="left" w:pos="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78DB">
        <w:rPr>
          <w:rFonts w:ascii="Times New Roman" w:eastAsia="Calibri" w:hAnsi="Times New Roman" w:cs="Times New Roman"/>
          <w:sz w:val="24"/>
          <w:szCs w:val="24"/>
        </w:rPr>
        <w:t xml:space="preserve">10. Індикаторний показник </w:t>
      </w:r>
      <w:r>
        <w:rPr>
          <w:rFonts w:ascii="Times New Roman" w:eastAsia="Calibri" w:hAnsi="Times New Roman" w:cs="Times New Roman"/>
          <w:sz w:val="24"/>
          <w:szCs w:val="24"/>
        </w:rPr>
        <w:t>інвестицій</w:t>
      </w:r>
      <w:r w:rsidRPr="000D78DB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r>
        <w:rPr>
          <w:rFonts w:ascii="Times New Roman" w:eastAsia="Calibri" w:hAnsi="Times New Roman" w:cs="Times New Roman"/>
          <w:sz w:val="24"/>
          <w:szCs w:val="24"/>
        </w:rPr>
        <w:t>інновацій в механізмах</w:t>
      </w:r>
      <w:r w:rsidRPr="000D78DB">
        <w:rPr>
          <w:rFonts w:ascii="Times New Roman" w:eastAsia="Calibri" w:hAnsi="Times New Roman" w:cs="Times New Roman"/>
          <w:sz w:val="24"/>
          <w:szCs w:val="24"/>
        </w:rPr>
        <w:t xml:space="preserve"> природокористування.</w:t>
      </w:r>
    </w:p>
    <w:p w:rsidR="00FF6AD0" w:rsidRDefault="00FF6AD0" w:rsidP="00912903">
      <w:pPr>
        <w:tabs>
          <w:tab w:val="left" w:pos="937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903" w:rsidRDefault="00912903" w:rsidP="00912903">
      <w:pPr>
        <w:tabs>
          <w:tab w:val="left" w:pos="937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2903">
        <w:rPr>
          <w:rFonts w:ascii="Times New Roman" w:eastAsia="Calibri" w:hAnsi="Times New Roman" w:cs="Times New Roman"/>
          <w:b/>
          <w:sz w:val="24"/>
          <w:szCs w:val="24"/>
        </w:rPr>
        <w:t>Рекомендації до виконання практичної роботи</w:t>
      </w:r>
    </w:p>
    <w:p w:rsidR="00912903" w:rsidRPr="00912903" w:rsidRDefault="00912903" w:rsidP="00912903">
      <w:pPr>
        <w:tabs>
          <w:tab w:val="left" w:pos="93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903">
        <w:rPr>
          <w:rFonts w:ascii="Times New Roman" w:eastAsia="Calibri" w:hAnsi="Times New Roman" w:cs="Times New Roman"/>
          <w:b/>
          <w:sz w:val="24"/>
          <w:szCs w:val="24"/>
        </w:rPr>
        <w:t xml:space="preserve">Мета роботи: </w:t>
      </w:r>
      <w:r w:rsidRPr="00912903">
        <w:rPr>
          <w:rFonts w:ascii="Times New Roman" w:eastAsia="Calibri" w:hAnsi="Times New Roman" w:cs="Times New Roman"/>
          <w:sz w:val="24"/>
          <w:szCs w:val="24"/>
        </w:rPr>
        <w:t xml:space="preserve">набуття </w:t>
      </w:r>
      <w:r w:rsidRPr="00912903">
        <w:rPr>
          <w:rFonts w:ascii="Times New Roman" w:eastAsia="Calibri" w:hAnsi="Times New Roman" w:cs="Times New Roman"/>
          <w:sz w:val="24"/>
          <w:szCs w:val="24"/>
          <w:u w:val="single"/>
        </w:rPr>
        <w:t>теоретичних основ</w:t>
      </w:r>
      <w:r w:rsidRPr="00912903">
        <w:rPr>
          <w:rFonts w:ascii="Times New Roman" w:eastAsia="Calibri" w:hAnsi="Times New Roman" w:cs="Times New Roman"/>
          <w:sz w:val="24"/>
          <w:szCs w:val="24"/>
        </w:rPr>
        <w:t xml:space="preserve"> проектування полігоні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знешкодження </w:t>
      </w:r>
      <w:r w:rsidRPr="00912903">
        <w:rPr>
          <w:rFonts w:ascii="Times New Roman" w:eastAsia="Calibri" w:hAnsi="Times New Roman" w:cs="Times New Roman"/>
          <w:sz w:val="24"/>
          <w:szCs w:val="24"/>
        </w:rPr>
        <w:t>токсичних промислових відходів.</w:t>
      </w:r>
    </w:p>
    <w:p w:rsidR="009E5C85" w:rsidRPr="009E5C85" w:rsidRDefault="009E5C85" w:rsidP="00912903">
      <w:pPr>
        <w:tabs>
          <w:tab w:val="left" w:pos="937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сучасних умовах н</w:t>
      </w:r>
      <w:r w:rsidRPr="009E5C85">
        <w:rPr>
          <w:rFonts w:ascii="Times New Roman" w:eastAsia="Calibri" w:hAnsi="Times New Roman" w:cs="Times New Roman"/>
          <w:sz w:val="24"/>
          <w:szCs w:val="24"/>
        </w:rPr>
        <w:t>еобхідно перезавантажувати громадську й експертну думку на реалізацію таких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стратегічно виважених</w:t>
      </w:r>
      <w:r w:rsidRPr="009E5C85">
        <w:rPr>
          <w:rFonts w:ascii="Times New Roman" w:eastAsia="Calibri" w:hAnsi="Times New Roman" w:cs="Times New Roman"/>
          <w:sz w:val="24"/>
          <w:szCs w:val="24"/>
        </w:rPr>
        <w:t xml:space="preserve"> рішень, які б відчутно сприяли зменшенню утворення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промислових та </w:t>
      </w:r>
      <w:r w:rsidRPr="009E5C85">
        <w:rPr>
          <w:rFonts w:ascii="Times New Roman" w:eastAsia="Calibri" w:hAnsi="Times New Roman" w:cs="Times New Roman"/>
          <w:sz w:val="24"/>
          <w:szCs w:val="24"/>
        </w:rPr>
        <w:t>побутових відходів, мінімізації місць їх знешкодження.</w:t>
      </w:r>
    </w:p>
    <w:p w:rsidR="009E5C85" w:rsidRPr="009E5C85" w:rsidRDefault="009E5C85" w:rsidP="00912903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5C85">
        <w:rPr>
          <w:rFonts w:ascii="Times New Roman" w:eastAsia="Calibri" w:hAnsi="Times New Roman" w:cs="Times New Roman"/>
          <w:b/>
          <w:i/>
          <w:sz w:val="24"/>
          <w:szCs w:val="24"/>
        </w:rPr>
        <w:t>Ці рішення повинні базуватись на відомих принципах сталого розвитку, що закладаються в порядок дій при стратегічному плануванні поводження з відходами:</w:t>
      </w:r>
    </w:p>
    <w:p w:rsidR="009E5C85" w:rsidRPr="009E5C85" w:rsidRDefault="009E5C85" w:rsidP="009129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C85">
        <w:rPr>
          <w:rFonts w:ascii="Times New Roman" w:eastAsia="Calibri" w:hAnsi="Times New Roman" w:cs="Times New Roman"/>
          <w:sz w:val="24"/>
          <w:szCs w:val="24"/>
        </w:rPr>
        <w:t>1) запобігай утворенню відходів;</w:t>
      </w:r>
    </w:p>
    <w:p w:rsidR="009E5C85" w:rsidRPr="009E5C85" w:rsidRDefault="009E5C85" w:rsidP="009129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C85">
        <w:rPr>
          <w:rFonts w:ascii="Times New Roman" w:eastAsia="Calibri" w:hAnsi="Times New Roman" w:cs="Times New Roman"/>
          <w:sz w:val="24"/>
          <w:szCs w:val="24"/>
        </w:rPr>
        <w:t>2) мінімізуй їх утворення;</w:t>
      </w:r>
    </w:p>
    <w:p w:rsidR="009E5C85" w:rsidRPr="009E5C85" w:rsidRDefault="009E5C85" w:rsidP="009129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C85">
        <w:rPr>
          <w:rFonts w:ascii="Times New Roman" w:eastAsia="Calibri" w:hAnsi="Times New Roman" w:cs="Times New Roman"/>
          <w:sz w:val="24"/>
          <w:szCs w:val="24"/>
        </w:rPr>
        <w:t>3) спрямовуй їх на повторний вжиток;</w:t>
      </w:r>
    </w:p>
    <w:p w:rsidR="009E5C85" w:rsidRPr="009E5C85" w:rsidRDefault="009E5C85" w:rsidP="009129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C85">
        <w:rPr>
          <w:rFonts w:ascii="Times New Roman" w:eastAsia="Calibri" w:hAnsi="Times New Roman" w:cs="Times New Roman"/>
          <w:sz w:val="24"/>
          <w:szCs w:val="24"/>
        </w:rPr>
        <w:t>4) видобувай з них енергію;</w:t>
      </w:r>
    </w:p>
    <w:p w:rsidR="009E5C85" w:rsidRPr="009E5C85" w:rsidRDefault="009E5C85" w:rsidP="009129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C85">
        <w:rPr>
          <w:rFonts w:ascii="Times New Roman" w:eastAsia="Calibri" w:hAnsi="Times New Roman" w:cs="Times New Roman"/>
          <w:sz w:val="24"/>
          <w:szCs w:val="24"/>
        </w:rPr>
        <w:t>5) безпечно складуй на полігонах.</w:t>
      </w:r>
    </w:p>
    <w:p w:rsidR="009E5C85" w:rsidRDefault="009E5C85" w:rsidP="0091290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C85">
        <w:rPr>
          <w:rFonts w:ascii="Times New Roman" w:eastAsia="Calibri" w:hAnsi="Times New Roman" w:cs="Times New Roman"/>
          <w:sz w:val="24"/>
          <w:szCs w:val="24"/>
        </w:rPr>
        <w:t xml:space="preserve">Найвагомішою інвестицією у розв’язання даної проблеми мають стати людський розум та </w:t>
      </w:r>
      <w:r w:rsidR="00FF6AD0">
        <w:rPr>
          <w:rFonts w:ascii="Times New Roman" w:eastAsia="Calibri" w:hAnsi="Times New Roman" w:cs="Times New Roman"/>
          <w:sz w:val="24"/>
          <w:szCs w:val="24"/>
        </w:rPr>
        <w:t>моральна відповідальність</w:t>
      </w:r>
      <w:r w:rsidRPr="009E5C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1C6F" w:rsidRDefault="00B6293D" w:rsidP="00261C6F">
      <w:pPr>
        <w:tabs>
          <w:tab w:val="left" w:pos="4137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Хід</w:t>
      </w:r>
      <w:r w:rsidR="00261C6F" w:rsidRPr="00261C6F">
        <w:rPr>
          <w:rFonts w:ascii="Times New Roman" w:eastAsia="Calibri" w:hAnsi="Times New Roman" w:cs="Times New Roman"/>
          <w:b/>
          <w:sz w:val="24"/>
          <w:szCs w:val="24"/>
        </w:rPr>
        <w:t xml:space="preserve"> роботи</w:t>
      </w:r>
    </w:p>
    <w:p w:rsidR="00261C6F" w:rsidRPr="00B6293D" w:rsidRDefault="00261C6F" w:rsidP="00261C6F">
      <w:pPr>
        <w:tabs>
          <w:tab w:val="left" w:pos="413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293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6293D" w:rsidRPr="00B6293D">
        <w:rPr>
          <w:rFonts w:ascii="Times New Roman" w:eastAsia="Calibri" w:hAnsi="Times New Roman" w:cs="Times New Roman"/>
          <w:sz w:val="24"/>
          <w:szCs w:val="24"/>
        </w:rPr>
        <w:t>Визначити клас</w:t>
      </w:r>
      <w:r w:rsidRPr="00B6293D">
        <w:rPr>
          <w:rFonts w:ascii="Times New Roman" w:eastAsia="Calibri" w:hAnsi="Times New Roman" w:cs="Times New Roman"/>
          <w:sz w:val="24"/>
          <w:szCs w:val="24"/>
        </w:rPr>
        <w:t xml:space="preserve"> небезпеки відходів виробництв</w:t>
      </w:r>
      <w:r w:rsidR="00B6293D" w:rsidRPr="00B6293D">
        <w:rPr>
          <w:rFonts w:ascii="Times New Roman" w:eastAsia="Calibri" w:hAnsi="Times New Roman" w:cs="Times New Roman"/>
          <w:sz w:val="24"/>
          <w:szCs w:val="24"/>
        </w:rPr>
        <w:t>а (відповідно до варіанту).</w:t>
      </w:r>
    </w:p>
    <w:p w:rsidR="00B6293D" w:rsidRDefault="00DD6EEE" w:rsidP="00B6293D">
      <w:pPr>
        <w:tabs>
          <w:tab w:val="left" w:pos="413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Обрати</w:t>
      </w:r>
      <w:r w:rsidR="00B6293D" w:rsidRPr="00B6293D">
        <w:rPr>
          <w:rFonts w:ascii="Times New Roman" w:eastAsia="Calibri" w:hAnsi="Times New Roman" w:cs="Times New Roman"/>
          <w:sz w:val="24"/>
          <w:szCs w:val="24"/>
        </w:rPr>
        <w:t xml:space="preserve"> методи</w:t>
      </w:r>
      <w:r w:rsidR="00261C6F" w:rsidRPr="00B6293D">
        <w:rPr>
          <w:rFonts w:ascii="Times New Roman" w:eastAsia="Calibri" w:hAnsi="Times New Roman" w:cs="Times New Roman"/>
          <w:sz w:val="24"/>
          <w:szCs w:val="24"/>
        </w:rPr>
        <w:t xml:space="preserve"> переробки відходів</w:t>
      </w:r>
      <w:r w:rsidR="00B6293D" w:rsidRPr="00B629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6AD0" w:rsidRDefault="00FF6AD0" w:rsidP="00B6293D">
      <w:pPr>
        <w:tabs>
          <w:tab w:val="left" w:pos="413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6F0066" w:rsidRPr="006F0066">
        <w:t xml:space="preserve"> </w:t>
      </w:r>
      <w:r w:rsidR="006F0066" w:rsidRPr="006F0066">
        <w:rPr>
          <w:rFonts w:ascii="Times New Roman" w:eastAsia="Calibri" w:hAnsi="Times New Roman" w:cs="Times New Roman"/>
          <w:sz w:val="24"/>
          <w:szCs w:val="24"/>
        </w:rPr>
        <w:t>Обґрунтувати вибір моделі полігону</w:t>
      </w:r>
      <w:r w:rsidR="006F0066">
        <w:rPr>
          <w:rFonts w:ascii="Times New Roman" w:eastAsia="Calibri" w:hAnsi="Times New Roman" w:cs="Times New Roman"/>
          <w:sz w:val="24"/>
          <w:szCs w:val="24"/>
        </w:rPr>
        <w:t xml:space="preserve"> (рис. 1-3) або запропонувати свій варіант з використанням інтернет-ресурсів з посиланням на джерело.</w:t>
      </w:r>
    </w:p>
    <w:p w:rsidR="00FF6AD0" w:rsidRPr="00261C6F" w:rsidRDefault="00FF6AD0" w:rsidP="00B6293D">
      <w:pPr>
        <w:tabs>
          <w:tab w:val="left" w:pos="4137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903" w:rsidRPr="009E5C85" w:rsidRDefault="00B6293D" w:rsidP="00DD6EEE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555699" cy="1862919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698" cy="186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066" w:rsidRDefault="006F0066" w:rsidP="001010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5970" w:rsidRPr="00B6293D" w:rsidRDefault="00B6293D" w:rsidP="006F006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93D">
        <w:rPr>
          <w:rFonts w:ascii="Times New Roman" w:eastAsia="Calibri" w:hAnsi="Times New Roman" w:cs="Times New Roman"/>
          <w:b/>
          <w:sz w:val="24"/>
          <w:szCs w:val="24"/>
        </w:rPr>
        <w:t>Рис. 1 Модель I: Схема відсипання відходів IV класу небезпечності</w:t>
      </w:r>
      <w:r w:rsidR="001236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36DB" w:rsidRPr="001236DB">
        <w:rPr>
          <w:rFonts w:ascii="Times New Roman" w:eastAsia="Calibri" w:hAnsi="Times New Roman" w:cs="Times New Roman"/>
          <w:sz w:val="24"/>
          <w:szCs w:val="24"/>
        </w:rPr>
        <w:t>[20]</w:t>
      </w:r>
    </w:p>
    <w:p w:rsidR="00B6293D" w:rsidRDefault="00B6293D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278573" cy="219846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42" cy="219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3D" w:rsidRPr="00B6293D" w:rsidRDefault="00B6293D" w:rsidP="00B6293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Рис. 2</w:t>
      </w:r>
      <w:r w:rsidRPr="00B6293D">
        <w:rPr>
          <w:rFonts w:ascii="Times New Roman" w:eastAsia="Calibri" w:hAnsi="Times New Roman" w:cs="Times New Roman"/>
          <w:b/>
          <w:sz w:val="24"/>
          <w:szCs w:val="24"/>
        </w:rPr>
        <w:t xml:space="preserve"> Модель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6293D">
        <w:rPr>
          <w:rFonts w:ascii="Times New Roman" w:eastAsia="Calibri" w:hAnsi="Times New Roman" w:cs="Times New Roman"/>
          <w:b/>
          <w:sz w:val="24"/>
          <w:szCs w:val="24"/>
        </w:rPr>
        <w:t>: Схема відсипання відходів 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ІІ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ІІІ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класу небезпечності </w:t>
      </w:r>
      <w:r w:rsidRPr="00B6293D">
        <w:rPr>
          <w:rFonts w:ascii="Times New Roman" w:eastAsia="Calibri" w:hAnsi="Times New Roman" w:cs="Times New Roman"/>
          <w:b/>
          <w:sz w:val="24"/>
          <w:szCs w:val="24"/>
        </w:rPr>
        <w:t>(крім водорозчинних І класу)</w:t>
      </w:r>
      <w:r w:rsidR="001236DB" w:rsidRPr="001236DB">
        <w:rPr>
          <w:rFonts w:ascii="Times New Roman" w:eastAsia="Calibri" w:hAnsi="Times New Roman" w:cs="Times New Roman"/>
          <w:sz w:val="24"/>
          <w:szCs w:val="24"/>
        </w:rPr>
        <w:t xml:space="preserve"> [20]</w:t>
      </w:r>
    </w:p>
    <w:p w:rsidR="00B6293D" w:rsidRDefault="00DD6EEE" w:rsidP="00DD6E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159237" cy="193641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543" cy="194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EE" w:rsidRPr="00DD6EEE" w:rsidRDefault="00DD6EEE" w:rsidP="00DD6EE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Рис. 2</w:t>
      </w:r>
      <w:r w:rsidRPr="00B6293D">
        <w:rPr>
          <w:rFonts w:ascii="Times New Roman" w:eastAsia="Calibri" w:hAnsi="Times New Roman" w:cs="Times New Roman"/>
          <w:b/>
          <w:sz w:val="24"/>
          <w:szCs w:val="24"/>
        </w:rPr>
        <w:t xml:space="preserve"> Модель I</w:t>
      </w:r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B6293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DD6EEE">
        <w:rPr>
          <w:rFonts w:ascii="Times New Roman" w:eastAsia="Calibri" w:hAnsi="Times New Roman" w:cs="Times New Roman"/>
          <w:b/>
          <w:sz w:val="24"/>
          <w:szCs w:val="24"/>
        </w:rPr>
        <w:t>Конструкція бункера, заповненого водорозчинними відходами</w:t>
      </w:r>
    </w:p>
    <w:p w:rsidR="00DD6EEE" w:rsidRDefault="00DD6EEE" w:rsidP="00DD6EE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EEE">
        <w:rPr>
          <w:rFonts w:ascii="Times New Roman" w:eastAsia="Calibri" w:hAnsi="Times New Roman" w:cs="Times New Roman"/>
          <w:b/>
          <w:sz w:val="24"/>
          <w:szCs w:val="24"/>
        </w:rPr>
        <w:t>І класу небезпечності</w:t>
      </w:r>
      <w:r w:rsidR="001236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36DB" w:rsidRPr="001236DB">
        <w:rPr>
          <w:rFonts w:ascii="Times New Roman" w:eastAsia="Calibri" w:hAnsi="Times New Roman" w:cs="Times New Roman"/>
          <w:sz w:val="24"/>
          <w:szCs w:val="24"/>
        </w:rPr>
        <w:t>[20]</w:t>
      </w:r>
    </w:p>
    <w:p w:rsidR="006F0066" w:rsidRPr="00B6293D" w:rsidRDefault="006F0066" w:rsidP="00DD6EE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D74" w:rsidRDefault="001236DB" w:rsidP="00223D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3D74" w:rsidRPr="00223D74">
        <w:rPr>
          <w:rFonts w:ascii="Times New Roman" w:eastAsia="Times New Roman" w:hAnsi="Times New Roman" w:cs="Times New Roman"/>
          <w:sz w:val="24"/>
          <w:szCs w:val="24"/>
          <w:lang w:eastAsia="ru-RU"/>
        </w:rPr>
        <w:t>. Зробити висновки</w:t>
      </w:r>
      <w:r w:rsidR="0022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</w:t>
      </w:r>
      <w:r w:rsidR="00223D74" w:rsidRPr="00223D74">
        <w:t xml:space="preserve"> </w:t>
      </w:r>
      <w:r w:rsidR="0022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 планування</w:t>
      </w:r>
      <w:r w:rsidR="00223D74" w:rsidRPr="0022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поводження з відходами</w:t>
      </w:r>
      <w:r w:rsidR="00223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D74" w:rsidRPr="00223D74" w:rsidRDefault="00223D74" w:rsidP="00223D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970" w:rsidRPr="00615970" w:rsidRDefault="00615970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615970" w:rsidRPr="00615970" w:rsidRDefault="00615970" w:rsidP="0061597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970" w:rsidRPr="008C481A" w:rsidRDefault="00615970" w:rsidP="0061597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Базова література:</w:t>
      </w:r>
      <w:r w:rsidRPr="008C481A">
        <w:rPr>
          <w:bCs/>
          <w:color w:val="000000"/>
          <w:lang w:eastAsia="uk-UA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[Чинний від 2015-12-21]. Київ, 2016. 24 с. (Інформація та документація).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1997-08-18]. Київ, 1997. 30 с. (Держстандарт).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)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2006-03-13]. Київ, 2016. 24 с. (Інформація та документація).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Системи екологічного керування – Вимоги та настанови щодо застосування.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[Міжнародна  організація зі стандартизації (ІСО), 2004]. 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Системи екологічного керування – Загальні настанови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щодо принципів, систем та засобів забезпечування.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[Міжнародна  організація зі стандартизації (ІСО), 2004].  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Закон України „Про екологічну мережу України” від 24 червня 2004 р: станом на 19 квітня 2018 р. / Відомості Верховної Ради України. 2004. №45. Ст. 502.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Кораблева А. И., Кораблева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А.И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Савин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Дніпропетровськ:, 2000. 144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Кучерявий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В.Л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Екологія: підручник. Львів: Світ, 2000. 500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Смарагдова мережа в Україні: за ред.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Проценко. Київ: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2011. 192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-Прутського регіону: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ім.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Ю.Федьковича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 Чернівці, 2005. С. 78 – 81.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Сонько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С.П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Засадничі принципи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ноосферного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природокористування у контекс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ті концепції сталого розвитку.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Вісник Криворізького економічного інституту </w:t>
      </w:r>
      <w:proofErr w:type="spellStart"/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КНЕУ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№8, 2006.  С. 7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-87.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Стратегія  сталого  розвитку:  Навчальний  посібник  /  за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 ред. 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оголюбова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..  К.: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2008. </w:t>
      </w: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300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615970" w:rsidRPr="008C481A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Allaby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M.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Basics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of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London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2002.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Miller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G.T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Living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in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the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An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introduction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to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ed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Wadsworth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Publ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Belmont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1998.</w:t>
      </w:r>
    </w:p>
    <w:p w:rsidR="00615970" w:rsidRPr="00F03527" w:rsidRDefault="00615970" w:rsidP="00615970">
      <w:pPr>
        <w:spacing w:after="0"/>
        <w:ind w:left="43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15970" w:rsidRPr="00F03527" w:rsidRDefault="00615970" w:rsidP="00615970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3527">
        <w:rPr>
          <w:rFonts w:ascii="Times New Roman" w:eastAsia="Calibri" w:hAnsi="Times New Roman" w:cs="Times New Roman"/>
          <w:b/>
          <w:sz w:val="24"/>
          <w:szCs w:val="24"/>
        </w:rPr>
        <w:t>Допоміжна література:</w:t>
      </w:r>
    </w:p>
    <w:p w:rsidR="00615970" w:rsidRPr="00F03527" w:rsidRDefault="00615970" w:rsidP="00615970">
      <w:pPr>
        <w:spacing w:after="0"/>
        <w:ind w:left="4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Моніторинг у сфері управління якістю та екологічного управління /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В.,  Калита О., Козаченко Л.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2007. №2. С. 52 – 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Економічні проблеми виробництва та споживання екологічно чистої продукції: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четвертої Міжнародної науково-практичної конференції. Суми: Сумський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2005. С. 147 – 149.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F03527">
        <w:rPr>
          <w:rFonts w:ascii="Times New Roman" w:eastAsia="Calibri" w:hAnsi="Times New Roman" w:cs="Times New Roman"/>
          <w:sz w:val="24"/>
          <w:szCs w:val="24"/>
        </w:rPr>
        <w:t>: матеріали науково-практичної конференції. Львів: Національний лісотехнічний університет, 2005.  С. 154 – 155.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керування якістю – Вимоги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 [Міжнародна  організація зі стандартизації (ІСО), 2006].  </w:t>
      </w:r>
    </w:p>
    <w:p w:rsidR="00BF2CA3" w:rsidRDefault="001236DB" w:rsidP="001236DB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Екологія</w:t>
      </w:r>
      <w:r w:rsid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Практичні та ігрові заняття</w:t>
      </w:r>
      <w:r w:rsid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:</w:t>
      </w:r>
      <w:r w:rsidR="00223D74"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навч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посібн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1236DB">
        <w:t xml:space="preserve">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студентів усіх спеціальностей та усіх форм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авчання /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ред. проф.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Березуцького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Х.: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НТУ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ХПІ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", 2012.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157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URL</w:t>
      </w:r>
      <w:proofErr w:type="spellEnd"/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: </w:t>
      </w:r>
      <w:hyperlink r:id="rId14" w:history="1">
        <w:r w:rsidRPr="00DA6F70">
          <w:rPr>
            <w:rStyle w:val="a4"/>
          </w:rPr>
          <w:t>http://web.kpi.kharkov.ua/safetyofliving/wp-content/uploads/sites/171/2018/09/practikum_2012.pdf</w:t>
        </w:r>
      </w:hyperlink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(дата звернення: 10.04.2020).</w:t>
      </w:r>
    </w:p>
    <w:p w:rsidR="001236DB" w:rsidRDefault="001236DB" w:rsidP="001236DB">
      <w:p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236DB" w:rsidRDefault="001236DB" w:rsidP="001236DB">
      <w:p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F0066" w:rsidRPr="001236DB" w:rsidRDefault="006F0066" w:rsidP="001236DB">
      <w:p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КРИТЕРІЇ ОЦІНЮВАННЯ ВИКОНАНОЇ РОБОТИ</w:t>
      </w: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A3" w:rsidRPr="00BF2CA3" w:rsidRDefault="00BF2CA3" w:rsidP="00BF2CA3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BF2CA3" w:rsidRPr="00BF2CA3" w:rsidRDefault="00BF2CA3" w:rsidP="00BF2C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BF2CA3" w:rsidRPr="00BF2CA3" w:rsidRDefault="00BF2CA3" w:rsidP="00BF2CA3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BF2CA3" w:rsidRPr="00BF2CA3" w:rsidTr="00BF2CA3">
        <w:trPr>
          <w:trHeight w:val="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BF2CA3" w:rsidRPr="00BF2CA3" w:rsidTr="00BF2CA3">
        <w:trPr>
          <w:trHeight w:val="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BF2CA3" w:rsidRPr="00BF2CA3" w:rsidTr="00BF2CA3">
        <w:trPr>
          <w:trHeight w:val="4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BF2CA3" w:rsidRPr="00BF2CA3" w:rsidTr="00BF2CA3">
        <w:trPr>
          <w:trHeight w:val="2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BF2CA3" w:rsidRPr="00BF2CA3" w:rsidRDefault="00BF2CA3" w:rsidP="00BF2CA3">
      <w:pPr>
        <w:tabs>
          <w:tab w:val="left" w:pos="1046"/>
        </w:tabs>
        <w:rPr>
          <w:rFonts w:ascii="Calibri" w:eastAsia="Calibri" w:hAnsi="Calibri" w:cs="Times New Roman"/>
        </w:rPr>
      </w:pPr>
    </w:p>
    <w:sectPr w:rsidR="00BF2CA3" w:rsidRPr="00BF2CA3" w:rsidSect="001010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BB" w:rsidRDefault="00DC64BB" w:rsidP="001236DB">
      <w:pPr>
        <w:spacing w:after="0" w:line="240" w:lineRule="auto"/>
      </w:pPr>
      <w:r>
        <w:separator/>
      </w:r>
    </w:p>
  </w:endnote>
  <w:endnote w:type="continuationSeparator" w:id="0">
    <w:p w:rsidR="00DC64BB" w:rsidRDefault="00DC64BB" w:rsidP="001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BB" w:rsidRDefault="00DC64BB" w:rsidP="001236DB">
      <w:pPr>
        <w:spacing w:after="0" w:line="240" w:lineRule="auto"/>
      </w:pPr>
      <w:r>
        <w:separator/>
      </w:r>
    </w:p>
  </w:footnote>
  <w:footnote w:type="continuationSeparator" w:id="0">
    <w:p w:rsidR="00DC64BB" w:rsidRDefault="00DC64BB" w:rsidP="001236DB">
      <w:pPr>
        <w:spacing w:after="0" w:line="240" w:lineRule="auto"/>
      </w:pPr>
      <w:r>
        <w:continuationSeparator/>
      </w:r>
    </w:p>
  </w:footnote>
  <w:footnote w:id="1">
    <w:p w:rsidR="006F0066" w:rsidRPr="006F0066" w:rsidRDefault="006F0066" w:rsidP="006F0066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Style w:val="a9"/>
          <w:rFonts w:ascii="Times New Roman" w:hAnsi="Times New Roman" w:cs="Times New Roman"/>
          <w:b/>
          <w:sz w:val="14"/>
          <w:szCs w:val="14"/>
        </w:rPr>
        <w:footnoteRef/>
      </w:r>
      <w:r w:rsidRPr="006F006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6F0066">
        <w:rPr>
          <w:rFonts w:ascii="Times New Roman" w:hAnsi="Times New Roman" w:cs="Times New Roman"/>
          <w:sz w:val="14"/>
          <w:szCs w:val="14"/>
        </w:rPr>
        <w:t>Реферати  зберігаються та надаються у наступному вигляді:</w:t>
      </w:r>
    </w:p>
    <w:p w:rsidR="006F0066" w:rsidRPr="006F0066" w:rsidRDefault="006F0066" w:rsidP="006F0066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Fonts w:ascii="Times New Roman" w:hAnsi="Times New Roman" w:cs="Times New Roman"/>
          <w:sz w:val="14"/>
          <w:szCs w:val="14"/>
        </w:rPr>
        <w:t>текстовий редактор Microsoft Office Word;</w:t>
      </w:r>
    </w:p>
    <w:p w:rsidR="006F0066" w:rsidRPr="006F0066" w:rsidRDefault="006F0066" w:rsidP="006F0066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Fonts w:ascii="Times New Roman" w:hAnsi="Times New Roman" w:cs="Times New Roman"/>
          <w:sz w:val="14"/>
          <w:szCs w:val="14"/>
        </w:rPr>
        <w:t xml:space="preserve">шрифт - </w:t>
      </w:r>
      <w:proofErr w:type="spellStart"/>
      <w:r w:rsidRPr="006F0066">
        <w:rPr>
          <w:rFonts w:ascii="Times New Roman" w:hAnsi="Times New Roman" w:cs="Times New Roman"/>
          <w:sz w:val="14"/>
          <w:szCs w:val="14"/>
        </w:rPr>
        <w:t>Times</w:t>
      </w:r>
      <w:proofErr w:type="spellEnd"/>
      <w:r w:rsidRPr="006F006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F0066">
        <w:rPr>
          <w:rFonts w:ascii="Times New Roman" w:hAnsi="Times New Roman" w:cs="Times New Roman"/>
          <w:sz w:val="14"/>
          <w:szCs w:val="14"/>
        </w:rPr>
        <w:t>New</w:t>
      </w:r>
      <w:proofErr w:type="spellEnd"/>
      <w:r w:rsidRPr="006F0066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F0066">
        <w:rPr>
          <w:rFonts w:ascii="Times New Roman" w:hAnsi="Times New Roman" w:cs="Times New Roman"/>
          <w:sz w:val="14"/>
          <w:szCs w:val="14"/>
        </w:rPr>
        <w:t>Roman</w:t>
      </w:r>
      <w:proofErr w:type="spellEnd"/>
      <w:r w:rsidRPr="006F0066">
        <w:rPr>
          <w:rFonts w:ascii="Times New Roman" w:hAnsi="Times New Roman" w:cs="Times New Roman"/>
          <w:sz w:val="14"/>
          <w:szCs w:val="14"/>
        </w:rPr>
        <w:t>”;</w:t>
      </w:r>
    </w:p>
    <w:p w:rsidR="006F0066" w:rsidRPr="006F0066" w:rsidRDefault="006F0066" w:rsidP="006F0066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Fonts w:ascii="Times New Roman" w:hAnsi="Times New Roman" w:cs="Times New Roman"/>
          <w:sz w:val="14"/>
          <w:szCs w:val="14"/>
        </w:rPr>
        <w:t>текст - кегль 14;</w:t>
      </w:r>
    </w:p>
    <w:p w:rsidR="006F0066" w:rsidRPr="006F0066" w:rsidRDefault="006F0066" w:rsidP="006F0066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Fonts w:ascii="Times New Roman" w:hAnsi="Times New Roman" w:cs="Times New Roman"/>
          <w:sz w:val="14"/>
          <w:szCs w:val="14"/>
        </w:rPr>
        <w:t xml:space="preserve">інтервал - 1,5; </w:t>
      </w:r>
    </w:p>
    <w:p w:rsidR="006F0066" w:rsidRPr="006F0066" w:rsidRDefault="006F0066" w:rsidP="006F0066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Fonts w:ascii="Times New Roman" w:hAnsi="Times New Roman" w:cs="Times New Roman"/>
          <w:sz w:val="14"/>
          <w:szCs w:val="14"/>
        </w:rPr>
        <w:t>поля - 2,0 см;</w:t>
      </w:r>
    </w:p>
    <w:p w:rsidR="006F0066" w:rsidRPr="006F0066" w:rsidRDefault="006F0066" w:rsidP="006F0066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Fonts w:ascii="Times New Roman" w:hAnsi="Times New Roman" w:cs="Times New Roman"/>
          <w:sz w:val="14"/>
          <w:szCs w:val="14"/>
        </w:rPr>
        <w:t>абзац - 1.25 см.</w:t>
      </w:r>
    </w:p>
    <w:p w:rsidR="006F0066" w:rsidRDefault="006F0066" w:rsidP="006F0066">
      <w:pPr>
        <w:pStyle w:val="a7"/>
        <w:rPr>
          <w:rFonts w:ascii="Times New Roman" w:hAnsi="Times New Roman" w:cs="Times New Roman"/>
          <w:lang w:val="ru-RU"/>
        </w:rPr>
      </w:pP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Обсяг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 реферату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довільний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, 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особливих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обмежень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 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нема</w:t>
      </w:r>
      <w:proofErr w:type="gramStart"/>
      <w:r w:rsidRPr="006F0066">
        <w:rPr>
          <w:rFonts w:ascii="Times New Roman" w:hAnsi="Times New Roman" w:cs="Times New Roman"/>
          <w:sz w:val="14"/>
          <w:szCs w:val="14"/>
          <w:lang w:val="ru-RU"/>
        </w:rPr>
        <w:t>є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>,</w:t>
      </w:r>
      <w:proofErr w:type="gram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умовно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від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 7 до 15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сторінок</w:t>
      </w:r>
      <w:proofErr w:type="spellEnd"/>
      <w:r w:rsidRPr="006F0066">
        <w:rPr>
          <w:rFonts w:ascii="Times New Roman" w:hAnsi="Times New Roman" w:cs="Times New Roman"/>
          <w:sz w:val="14"/>
          <w:szCs w:val="14"/>
          <w:lang w:val="ru-RU"/>
        </w:rPr>
        <w:t xml:space="preserve"> формату </w:t>
      </w:r>
      <w:proofErr w:type="spellStart"/>
      <w:r w:rsidRPr="006F0066">
        <w:rPr>
          <w:rFonts w:ascii="Times New Roman" w:hAnsi="Times New Roman" w:cs="Times New Roman"/>
          <w:sz w:val="14"/>
          <w:szCs w:val="14"/>
          <w:lang w:val="ru-RU"/>
        </w:rPr>
        <w:t>А4</w:t>
      </w:r>
      <w:proofErr w:type="spellEnd"/>
      <w:r w:rsidRPr="00CC6177">
        <w:rPr>
          <w:rFonts w:ascii="Times New Roman" w:hAnsi="Times New Roman" w:cs="Times New Roman"/>
          <w:lang w:val="ru-RU"/>
        </w:rPr>
        <w:t>.</w:t>
      </w:r>
    </w:p>
    <w:p w:rsidR="006F0066" w:rsidRPr="003A43C9" w:rsidRDefault="006F0066" w:rsidP="006F0066">
      <w:pPr>
        <w:pStyle w:val="a7"/>
        <w:rPr>
          <w:rFonts w:ascii="Times New Roman" w:hAnsi="Times New Roman" w:cs="Times New Roman"/>
          <w:lang w:val="ru-RU"/>
        </w:rPr>
      </w:pPr>
    </w:p>
  </w:footnote>
  <w:footnote w:id="2">
    <w:p w:rsidR="00FF6AD0" w:rsidRPr="006F0066" w:rsidRDefault="00FF6AD0">
      <w:pPr>
        <w:pStyle w:val="a7"/>
        <w:rPr>
          <w:rFonts w:ascii="Times New Roman" w:hAnsi="Times New Roman" w:cs="Times New Roman"/>
          <w:sz w:val="14"/>
          <w:szCs w:val="14"/>
        </w:rPr>
      </w:pPr>
      <w:r w:rsidRPr="006F0066">
        <w:rPr>
          <w:rStyle w:val="a9"/>
          <w:rFonts w:ascii="Times New Roman" w:hAnsi="Times New Roman" w:cs="Times New Roman"/>
          <w:sz w:val="14"/>
          <w:szCs w:val="14"/>
        </w:rPr>
        <w:footnoteRef/>
      </w:r>
      <w:r w:rsidRPr="006F0066">
        <w:rPr>
          <w:rFonts w:ascii="Times New Roman" w:hAnsi="Times New Roman" w:cs="Times New Roman"/>
          <w:sz w:val="14"/>
          <w:szCs w:val="14"/>
        </w:rPr>
        <w:t xml:space="preserve"> У практичній роботі (08.04. та 22.04.2020 року) використані ситуаційні задачі та матеріали з інтернет-ресурсу [20]:</w:t>
      </w:r>
    </w:p>
    <w:p w:rsidR="00FF6AD0" w:rsidRDefault="00FF6AD0">
      <w:pPr>
        <w:pStyle w:val="a7"/>
      </w:pPr>
      <w:proofErr w:type="spellStart"/>
      <w:r w:rsidRPr="006F0066">
        <w:rPr>
          <w:rFonts w:ascii="Times New Roman" w:hAnsi="Times New Roman" w:cs="Times New Roman"/>
          <w:color w:val="0000FF"/>
          <w:sz w:val="14"/>
          <w:szCs w:val="14"/>
          <w:u w:val="single"/>
        </w:rPr>
        <w:t>URL</w:t>
      </w:r>
      <w:proofErr w:type="spellEnd"/>
      <w:r w:rsidRPr="006F0066">
        <w:rPr>
          <w:rFonts w:ascii="Times New Roman" w:hAnsi="Times New Roman" w:cs="Times New Roman"/>
          <w:color w:val="0000FF"/>
          <w:sz w:val="14"/>
          <w:szCs w:val="14"/>
          <w:u w:val="single"/>
        </w:rPr>
        <w:t xml:space="preserve">: </w:t>
      </w:r>
      <w:hyperlink r:id="rId1" w:history="1">
        <w:r w:rsidRPr="006F0066">
          <w:rPr>
            <w:rStyle w:val="a4"/>
            <w:rFonts w:ascii="Times New Roman" w:hAnsi="Times New Roman" w:cs="Times New Roman"/>
            <w:sz w:val="14"/>
            <w:szCs w:val="14"/>
          </w:rPr>
          <w:t>http://web.kpi.kharkov.ua/safetyofliving/wp-content/uploads/sites/171/2018/09/practikum_2012.pdf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0301D"/>
    <w:rsid w:val="00052A09"/>
    <w:rsid w:val="000D78DB"/>
    <w:rsid w:val="001005D2"/>
    <w:rsid w:val="0010105F"/>
    <w:rsid w:val="001236DB"/>
    <w:rsid w:val="0018774A"/>
    <w:rsid w:val="00223D74"/>
    <w:rsid w:val="00261C6F"/>
    <w:rsid w:val="002D3246"/>
    <w:rsid w:val="003E6B9C"/>
    <w:rsid w:val="00406799"/>
    <w:rsid w:val="004D659F"/>
    <w:rsid w:val="005467E7"/>
    <w:rsid w:val="00567BCD"/>
    <w:rsid w:val="00580986"/>
    <w:rsid w:val="005D063B"/>
    <w:rsid w:val="00615970"/>
    <w:rsid w:val="006F0066"/>
    <w:rsid w:val="00710503"/>
    <w:rsid w:val="0073239B"/>
    <w:rsid w:val="00786C7E"/>
    <w:rsid w:val="007F4AE3"/>
    <w:rsid w:val="00810167"/>
    <w:rsid w:val="008C35D7"/>
    <w:rsid w:val="00912903"/>
    <w:rsid w:val="00954A23"/>
    <w:rsid w:val="009C5839"/>
    <w:rsid w:val="009E5C85"/>
    <w:rsid w:val="00B463E7"/>
    <w:rsid w:val="00B6293D"/>
    <w:rsid w:val="00BC2766"/>
    <w:rsid w:val="00BD74B1"/>
    <w:rsid w:val="00BE3DCB"/>
    <w:rsid w:val="00BF1F70"/>
    <w:rsid w:val="00BF2CA3"/>
    <w:rsid w:val="00BF62B0"/>
    <w:rsid w:val="00C019AD"/>
    <w:rsid w:val="00C421A5"/>
    <w:rsid w:val="00D42EA7"/>
    <w:rsid w:val="00D650DA"/>
    <w:rsid w:val="00DC5799"/>
    <w:rsid w:val="00DC64BB"/>
    <w:rsid w:val="00DD6EEE"/>
    <w:rsid w:val="00DE3D48"/>
    <w:rsid w:val="00F34773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236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36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36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236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36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3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.i.saranenko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Relationship Id="rId14" Type="http://schemas.openxmlformats.org/officeDocument/2006/relationships/hyperlink" Target="http://web.kpi.kharkov.ua/safetyofliving/wp-content/uploads/sites/171/2018/09/practikum_2012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eb.kpi.kharkov.ua/safetyofliving/wp-content/uploads/sites/171/2018/09/practikum_20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7E74-4EAE-44BD-BABE-41D6817D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5575</Words>
  <Characters>3179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2020-03-13T12:35:00Z</dcterms:created>
  <dcterms:modified xsi:type="dcterms:W3CDTF">2020-04-13T05:28:00Z</dcterms:modified>
</cp:coreProperties>
</file>