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F2" w:rsidRDefault="009D324F" w:rsidP="009D324F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D324F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5940425" cy="8169903"/>
            <wp:effectExtent l="0" t="0" r="0" b="0"/>
            <wp:docPr id="1" name="Рисунок 1" descr="C:\Users\NVOmelchenko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melchenko\Desktop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F6" w:rsidRDefault="007142F6" w:rsidP="00D83BF2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9D324F" w:rsidRDefault="009D324F" w:rsidP="00D83BF2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9D324F" w:rsidRPr="00D83BF2" w:rsidRDefault="009D324F" w:rsidP="00D83BF2">
      <w:pPr>
        <w:rPr>
          <w:rFonts w:ascii="Times New Roman" w:eastAsia="Times New Roman" w:hAnsi="Times New Roman" w:cs="Times New Roman"/>
          <w:sz w:val="28"/>
          <w:lang w:val="uk-UA"/>
        </w:rPr>
      </w:pPr>
      <w:bookmarkStart w:id="0" w:name="_GoBack"/>
      <w:bookmarkEnd w:id="0"/>
    </w:p>
    <w:p w:rsidR="007142F6" w:rsidRPr="004B7B55" w:rsidRDefault="00BE6CE7" w:rsidP="004B7B55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Опис курсу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7195"/>
      </w:tblGrid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5B3F10" w:rsidP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Географія міст</w:t>
            </w:r>
            <w:r w:rsidR="00BE6C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BF2" w:rsidRDefault="00D83BF2" w:rsidP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="00BE6CE7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компонента 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</w:t>
            </w:r>
            <w:r w:rsidR="00BE6CE7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(бакалаврський) рівень освіти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5B3F10" w:rsidP="005B3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E6CE7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кредит</w:t>
            </w:r>
            <w:r w:rsidR="00D83BF2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E6CE7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BE6CE7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5B3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BE6C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</w:t>
            </w:r>
          </w:p>
        </w:tc>
      </w:tr>
      <w:tr w:rsidR="007142F6" w:rsidRPr="00D45A8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5B3F10" w:rsidRDefault="00BE6CE7" w:rsidP="00D4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Омельченко Наталя</w:t>
            </w:r>
            <w:r w:rsidR="00D45A85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кандидат географічних наук, старший викладач кафедри</w:t>
            </w:r>
          </w:p>
          <w:p w:rsidR="00D45A85" w:rsidRPr="00D45A85" w:rsidRDefault="009D324F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</w:rPr>
                <w:t>https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  <w:lang w:val="uk-UA"/>
                </w:rPr>
                <w:t>://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</w:rPr>
                <w:t>orcid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  <w:lang w:val="uk-UA"/>
                </w:rPr>
                <w:t>.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</w:rPr>
                <w:t>org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  <w:lang w:val="uk-UA"/>
                </w:rPr>
                <w:t>/0000-0002-8067-9433</w:t>
              </w:r>
            </w:hyperlink>
            <w:r w:rsidR="00D45A85">
              <w:rPr>
                <w:rStyle w:val="orcid-id-https"/>
                <w:rFonts w:ascii="Arial" w:hAnsi="Arial" w:cs="Arial"/>
                <w:color w:val="494A4C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7142F6" w:rsidRPr="00D45A8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D45A85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D45A85" w:rsidRDefault="009D324F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D45A85" w:rsidRPr="00D45A85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-</w:t>
              </w:r>
            </w:hyperlink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 w:rsidP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+380508206745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9D32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BE6CE7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Nomelchenko92@gmail.com</w:t>
              </w:r>
            </w:hyperlink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П’ятниця, 10:00-14:</w:t>
            </w: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00, </w:t>
            </w:r>
            <w:proofErr w:type="spellStart"/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603 або за призначеним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часом</w:t>
            </w:r>
          </w:p>
        </w:tc>
      </w:tr>
      <w:tr w:rsidR="007142F6" w:rsidRPr="009D324F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лекційні заняття, практичні роботи, презентації, тестові завдання, індивідуальні завдання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 w:rsidP="005B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7142F6" w:rsidRDefault="007142F6">
      <w:pPr>
        <w:spacing w:after="0" w:line="259" w:lineRule="auto"/>
        <w:rPr>
          <w:rFonts w:ascii="Times New Roman" w:eastAsia="Times New Roman" w:hAnsi="Times New Roman" w:cs="Times New Roman"/>
          <w:sz w:val="16"/>
        </w:rPr>
      </w:pPr>
    </w:p>
    <w:p w:rsidR="007142F6" w:rsidRPr="00D23370" w:rsidRDefault="00BE6CE7" w:rsidP="004B7B55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33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Анотація дисципліни:</w:t>
      </w:r>
      <w:r w:rsidRPr="00D23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дисципліна включає теми, пов’язані з </w:t>
      </w:r>
      <w:r w:rsidR="00D23370" w:rsidRPr="00D23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еволюцією міст як головних </w:t>
      </w:r>
      <w:proofErr w:type="spellStart"/>
      <w:r w:rsidR="00D23370" w:rsidRPr="00D23370">
        <w:rPr>
          <w:rFonts w:ascii="Times New Roman" w:eastAsia="Times New Roman" w:hAnsi="Times New Roman" w:cs="Times New Roman"/>
          <w:sz w:val="28"/>
          <w:szCs w:val="28"/>
          <w:lang w:val="uk-UA"/>
        </w:rPr>
        <w:t>ядер</w:t>
      </w:r>
      <w:proofErr w:type="spellEnd"/>
      <w:r w:rsidR="00D23370" w:rsidRPr="00D23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урбанізації, їхньою класифікацією та типологією. Окрема увага приділена вивченню феномена урбанізації та просторовим особливостям її прояву у світі. Студенти ознайомляться із сучасними урбанізаційними тенденціями та формуванням «міст майбутнього».</w:t>
      </w:r>
    </w:p>
    <w:p w:rsidR="007142F6" w:rsidRPr="00D23370" w:rsidRDefault="00BE6CE7" w:rsidP="004B7B55">
      <w:pPr>
        <w:pStyle w:val="a5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23370">
        <w:rPr>
          <w:rFonts w:ascii="Times New Roman" w:eastAsia="Times New Roman" w:hAnsi="Times New Roman" w:cs="Times New Roman"/>
          <w:b/>
          <w:sz w:val="28"/>
          <w:lang w:val="ru-RU"/>
        </w:rPr>
        <w:t xml:space="preserve">Мета та </w:t>
      </w:r>
      <w:r w:rsidRPr="001E02D6">
        <w:rPr>
          <w:rFonts w:ascii="Times New Roman" w:eastAsia="Times New Roman" w:hAnsi="Times New Roman" w:cs="Times New Roman"/>
          <w:b/>
          <w:sz w:val="28"/>
          <w:lang w:val="uk-UA"/>
        </w:rPr>
        <w:t>завдання дисципліни:</w:t>
      </w:r>
    </w:p>
    <w:p w:rsidR="001E02D6" w:rsidRPr="002938E4" w:rsidRDefault="00BE6CE7" w:rsidP="00D72219">
      <w:pPr>
        <w:spacing w:after="0"/>
        <w:ind w:left="360" w:firstLine="2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02D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Мета дисципліни</w:t>
      </w:r>
      <w:r w:rsidRPr="001E02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E02D6" w:rsidRPr="001E02D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оволодіння студентами знань щодо просторової еволюції, закономірностей розвитку й </w:t>
      </w:r>
      <w:r w:rsidR="001E02D6" w:rsidRPr="001E02D6">
        <w:rPr>
          <w:rFonts w:ascii="Times New Roman" w:hAnsi="Times New Roman" w:cs="Times New Roman"/>
          <w:sz w:val="28"/>
          <w:szCs w:val="28"/>
          <w:lang w:val="uk-UA" w:eastAsia="uk-UA"/>
        </w:rPr>
        <w:t>особливостей прояву процесів урбанізації в різних регіонах світу</w:t>
      </w:r>
      <w:r w:rsidR="001E02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Україні</w:t>
      </w:r>
      <w:r w:rsidR="001E02D6" w:rsidRPr="001E02D6">
        <w:rPr>
          <w:rFonts w:ascii="Times New Roman" w:hAnsi="Times New Roman" w:cs="Times New Roman"/>
          <w:sz w:val="28"/>
          <w:szCs w:val="28"/>
          <w:lang w:val="uk-UA" w:eastAsia="uk-UA"/>
        </w:rPr>
        <w:t>; формування у студентів р</w:t>
      </w:r>
      <w:r w:rsidR="001E02D6" w:rsidRPr="002938E4">
        <w:rPr>
          <w:rFonts w:ascii="Times New Roman" w:hAnsi="Times New Roman" w:cs="Times New Roman"/>
          <w:sz w:val="28"/>
          <w:szCs w:val="28"/>
          <w:lang w:val="uk-UA" w:eastAsia="uk-UA"/>
        </w:rPr>
        <w:t>озуміння тенденцій розвитку суспільства в сучасному урбанізованому середовищі.</w:t>
      </w:r>
    </w:p>
    <w:p w:rsidR="007142F6" w:rsidRPr="002938E4" w:rsidRDefault="00BE6CE7" w:rsidP="00865C9E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2938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</w:p>
    <w:p w:rsidR="00D23370" w:rsidRPr="009D7CDB" w:rsidRDefault="00B8371F" w:rsidP="00D233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розкрити </w:t>
      </w:r>
      <w:r w:rsidR="00D23370" w:rsidRPr="009D7CDB">
        <w:rPr>
          <w:rFonts w:ascii="Times New Roman" w:hAnsi="Times New Roman" w:cs="Times New Roman"/>
          <w:sz w:val="28"/>
          <w:szCs w:val="28"/>
          <w:lang w:val="uk-UA" w:eastAsia="uk-UA"/>
        </w:rPr>
        <w:t>значення географії міст як науки та роль міста як головного об’єкта</w:t>
      </w:r>
      <w:r w:rsidR="009D7C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дослідження;</w:t>
      </w:r>
      <w:r w:rsidR="00D23370" w:rsidRPr="009D7C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23370" w:rsidRPr="009D7CDB" w:rsidRDefault="00D23370" w:rsidP="00D233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>провести класифікацію і типологію міст та міських систем за різними підходами;</w:t>
      </w:r>
    </w:p>
    <w:p w:rsidR="00B8371F" w:rsidRPr="009D7CDB" w:rsidRDefault="00B8371F" w:rsidP="00D233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проаналізувати процеси урбанізації, що набули глобального характеру в сучасному світі, їх розвиток та просторові закономірності через розгляд основних етапів еволюції міських систем (місто – міська агломерація – урбанізований район – урбанізована зона – мегалополіс); </w:t>
      </w:r>
    </w:p>
    <w:p w:rsidR="00B8371F" w:rsidRPr="009D7CDB" w:rsidRDefault="00B8371F" w:rsidP="00D233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виявити </w:t>
      </w:r>
      <w:r w:rsidRPr="009D7CDB">
        <w:rPr>
          <w:rFonts w:ascii="Times New Roman" w:hAnsi="Times New Roman" w:cs="Times New Roman"/>
          <w:sz w:val="28"/>
          <w:szCs w:val="28"/>
          <w:lang w:val="uk-UA"/>
        </w:rPr>
        <w:t xml:space="preserve">сучасні урбаністичні тенденції у світі та Україні; </w:t>
      </w:r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>розглянути концепції формування «міст майбутнього» (</w:t>
      </w:r>
      <w:proofErr w:type="spellStart"/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>green-city</w:t>
      </w:r>
      <w:proofErr w:type="spellEnd"/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>smart-city</w:t>
      </w:r>
      <w:proofErr w:type="spellEnd"/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9D7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>creative-city</w:t>
      </w:r>
      <w:proofErr w:type="spellEnd"/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>inclusive-city</w:t>
      </w:r>
      <w:proofErr w:type="spellEnd"/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тощо);</w:t>
      </w:r>
    </w:p>
    <w:p w:rsidR="009D7CDB" w:rsidRPr="009D7CDB" w:rsidRDefault="009D7CDB" w:rsidP="00D233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D7CD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дослідити сучасні тенденції розвитку світових міст (</w:t>
      </w:r>
      <w:proofErr w:type="spellStart"/>
      <w:r w:rsidRPr="009D7CDB">
        <w:rPr>
          <w:rFonts w:ascii="Times New Roman" w:hAnsi="Times New Roman" w:cs="Times New Roman"/>
          <w:color w:val="000000"/>
          <w:sz w:val="28"/>
          <w:szCs w:val="28"/>
          <w:lang w:val="uk-UA"/>
        </w:rPr>
        <w:t>global-city</w:t>
      </w:r>
      <w:proofErr w:type="spellEnd"/>
      <w:r w:rsidRPr="009D7CD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D23370" w:rsidRPr="009D7CDB" w:rsidRDefault="009D7CDB" w:rsidP="00D2337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="00D23370" w:rsidRPr="009D7CDB">
        <w:rPr>
          <w:rFonts w:ascii="Times New Roman" w:hAnsi="Times New Roman" w:cs="Times New Roman"/>
          <w:sz w:val="28"/>
          <w:szCs w:val="28"/>
          <w:lang w:val="uk-UA" w:eastAsia="uk-UA"/>
        </w:rPr>
        <w:t>характеризувати основи міської політики та стратегічного планування соціально-економічно</w:t>
      </w:r>
      <w:r w:rsidRPr="009D7CDB">
        <w:rPr>
          <w:rFonts w:ascii="Times New Roman" w:hAnsi="Times New Roman" w:cs="Times New Roman"/>
          <w:sz w:val="28"/>
          <w:szCs w:val="28"/>
          <w:lang w:val="uk-UA" w:eastAsia="uk-UA"/>
        </w:rPr>
        <w:t>го і просторового розвитку міст.</w:t>
      </w:r>
    </w:p>
    <w:p w:rsidR="009D7CDB" w:rsidRDefault="009D7CDB" w:rsidP="009D7CDB">
      <w:pPr>
        <w:pStyle w:val="a5"/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7142F6" w:rsidRPr="004B7B55" w:rsidRDefault="00BE6CE7" w:rsidP="00D23370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Програмні компетентності та результати навчання</w:t>
      </w:r>
    </w:p>
    <w:p w:rsidR="007142F6" w:rsidRPr="002938E4" w:rsidRDefault="00BE6CE7">
      <w:pPr>
        <w:spacing w:after="0" w:line="259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938E4">
        <w:rPr>
          <w:rFonts w:ascii="Times New Roman" w:eastAsia="Times New Roman" w:hAnsi="Times New Roman" w:cs="Times New Roman"/>
          <w:b/>
          <w:sz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6310E9" w:rsidRPr="00F7121F" w:rsidRDefault="006310E9" w:rsidP="00FE50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87B">
        <w:rPr>
          <w:rFonts w:ascii="Times New Roman" w:hAnsi="Times New Roman" w:cs="Times New Roman"/>
          <w:b/>
          <w:sz w:val="28"/>
          <w:szCs w:val="28"/>
          <w:lang w:val="uk-UA"/>
        </w:rPr>
        <w:t>Інтегральна компетентність</w:t>
      </w:r>
      <w:r w:rsidRPr="00DD587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72219" w:rsidRPr="00D72219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задачі і проблеми у галузі географічної освіти або у процесі навчання, що передбачає проведення досліджень та/або здійснення інновацій та характеризується невизначеністю умов і вимог до професійної та навчальної  діяльності.</w:t>
      </w:r>
    </w:p>
    <w:p w:rsidR="00C836CD" w:rsidRDefault="00C836CD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7142F6" w:rsidRPr="00C836CD" w:rsidRDefault="00BE6CE7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C836CD">
        <w:rPr>
          <w:rFonts w:ascii="Times New Roman" w:eastAsia="Times New Roman" w:hAnsi="Times New Roman" w:cs="Times New Roman"/>
          <w:b/>
          <w:sz w:val="28"/>
          <w:lang w:val="uk-UA"/>
        </w:rPr>
        <w:t>Загальні компетентності</w:t>
      </w:r>
      <w:r w:rsidRPr="00C836CD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6310E9" w:rsidRPr="00C836CD" w:rsidRDefault="00BE6CE7">
      <w:pPr>
        <w:spacing w:after="0" w:line="259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ЗК </w:t>
      </w:r>
      <w:r w:rsidR="00F7121F" w:rsidRPr="00C836C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C836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6310E9" w:rsidRPr="00C836CD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</w:t>
      </w:r>
      <w:r w:rsidR="00F7121F" w:rsidRPr="00C836CD">
        <w:rPr>
          <w:rFonts w:ascii="Times New Roman" w:hAnsi="Times New Roman" w:cs="Times New Roman"/>
          <w:sz w:val="28"/>
          <w:szCs w:val="28"/>
          <w:lang w:val="uk-UA"/>
        </w:rPr>
        <w:t>працювати в команді.</w:t>
      </w:r>
    </w:p>
    <w:p w:rsidR="00F7121F" w:rsidRPr="00C836CD" w:rsidRDefault="00F7121F">
      <w:pPr>
        <w:spacing w:after="0" w:line="259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6CD">
        <w:rPr>
          <w:rFonts w:ascii="Times New Roman" w:hAnsi="Times New Roman" w:cs="Times New Roman"/>
          <w:sz w:val="28"/>
          <w:szCs w:val="28"/>
          <w:lang w:val="uk-UA"/>
        </w:rPr>
        <w:t>ЗК7. Здатність застосувати знання у практичних ситуаціях.</w:t>
      </w:r>
    </w:p>
    <w:p w:rsidR="00C836CD" w:rsidRPr="00C836CD" w:rsidRDefault="00C836CD" w:rsidP="00C836CD">
      <w:pPr>
        <w:spacing w:after="0" w:line="259" w:lineRule="auto"/>
        <w:ind w:firstLine="568"/>
        <w:jc w:val="center"/>
        <w:rPr>
          <w:rFonts w:ascii="Times New Roman" w:hAnsi="Times New Roman"/>
          <w:b/>
          <w:sz w:val="28"/>
          <w:szCs w:val="24"/>
          <w:lang w:val="uk-UA"/>
        </w:rPr>
      </w:pPr>
    </w:p>
    <w:p w:rsidR="00C836CD" w:rsidRPr="00C836CD" w:rsidRDefault="00C836CD" w:rsidP="00C836CD">
      <w:pPr>
        <w:spacing w:after="0" w:line="259" w:lineRule="auto"/>
        <w:ind w:firstLine="568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C836CD">
        <w:rPr>
          <w:rFonts w:ascii="Times New Roman" w:hAnsi="Times New Roman"/>
          <w:b/>
          <w:sz w:val="28"/>
          <w:szCs w:val="24"/>
          <w:lang w:val="uk-UA"/>
        </w:rPr>
        <w:t xml:space="preserve">Фахові </w:t>
      </w:r>
      <w:r w:rsidRPr="00D72219">
        <w:rPr>
          <w:rFonts w:ascii="Times New Roman" w:hAnsi="Times New Roman"/>
          <w:b/>
          <w:sz w:val="28"/>
          <w:szCs w:val="24"/>
          <w:lang w:val="uk-UA"/>
        </w:rPr>
        <w:t>компетентності</w:t>
      </w:r>
      <w:r w:rsidRPr="00C836CD">
        <w:rPr>
          <w:rFonts w:ascii="Times New Roman" w:hAnsi="Times New Roman"/>
          <w:b/>
          <w:sz w:val="28"/>
          <w:szCs w:val="24"/>
          <w:lang w:val="uk-UA"/>
        </w:rPr>
        <w:t>:</w:t>
      </w:r>
    </w:p>
    <w:p w:rsidR="00F7121F" w:rsidRPr="00C836CD" w:rsidRDefault="00F7121F">
      <w:pPr>
        <w:spacing w:after="0" w:line="259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6CD">
        <w:rPr>
          <w:rFonts w:ascii="Times New Roman" w:hAnsi="Times New Roman" w:cs="Times New Roman"/>
          <w:sz w:val="28"/>
          <w:szCs w:val="28"/>
          <w:lang w:val="uk-UA"/>
        </w:rPr>
        <w:t xml:space="preserve">ФК 8. Здатність усвідомлювати сутність взаємозв’язків між природним середовищем і людиною, розуміти та пояснювати стратегію сталого розвитку людства. </w:t>
      </w:r>
    </w:p>
    <w:p w:rsidR="00F7121F" w:rsidRPr="00C836CD" w:rsidRDefault="00F7121F">
      <w:pPr>
        <w:spacing w:after="0" w:line="259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6CD">
        <w:rPr>
          <w:rFonts w:ascii="Times New Roman" w:hAnsi="Times New Roman" w:cs="Times New Roman"/>
          <w:sz w:val="28"/>
          <w:szCs w:val="28"/>
          <w:lang w:val="uk-UA"/>
        </w:rPr>
        <w:t>ФК 12. Здатність пояс</w:t>
      </w:r>
      <w:r w:rsidR="00C836CD" w:rsidRPr="00C836CD">
        <w:rPr>
          <w:rFonts w:ascii="Times New Roman" w:hAnsi="Times New Roman" w:cs="Times New Roman"/>
          <w:sz w:val="28"/>
          <w:szCs w:val="28"/>
          <w:lang w:val="uk-UA"/>
        </w:rPr>
        <w:t xml:space="preserve">нювати закономірності територіальної організації суспільного виробництва, просторових процесів і форм організації життя людей. </w:t>
      </w:r>
    </w:p>
    <w:p w:rsidR="007142F6" w:rsidRPr="00C836CD" w:rsidRDefault="00BE6CE7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836CD">
        <w:rPr>
          <w:rFonts w:ascii="Times New Roman" w:eastAsia="Times New Roman" w:hAnsi="Times New Roman" w:cs="Times New Roman"/>
          <w:b/>
          <w:sz w:val="28"/>
          <w:lang w:val="uk-UA"/>
        </w:rPr>
        <w:t>Програмні результати навчання:</w:t>
      </w:r>
    </w:p>
    <w:p w:rsidR="006310E9" w:rsidRDefault="006310E9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6CD">
        <w:rPr>
          <w:rFonts w:ascii="Times New Roman" w:hAnsi="Times New Roman" w:cs="Times New Roman"/>
          <w:sz w:val="28"/>
          <w:szCs w:val="28"/>
        </w:rPr>
        <w:t>ПР</w:t>
      </w:r>
      <w:r w:rsidR="00C836CD" w:rsidRPr="00C836C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836CD">
        <w:rPr>
          <w:rFonts w:ascii="Times New Roman" w:hAnsi="Times New Roman" w:cs="Times New Roman"/>
          <w:sz w:val="28"/>
          <w:szCs w:val="28"/>
        </w:rPr>
        <w:t xml:space="preserve">. </w:t>
      </w:r>
      <w:r w:rsidR="00C836CD" w:rsidRPr="00C836CD">
        <w:rPr>
          <w:rFonts w:ascii="Times New Roman" w:hAnsi="Times New Roman" w:cs="Times New Roman"/>
          <w:sz w:val="28"/>
          <w:szCs w:val="28"/>
          <w:lang w:val="uk-UA"/>
        </w:rPr>
        <w:t>Пояснює просторову диференціацію географічної оболонки і географічного середовища на глобальному, регіональному та локальному територіальному рівнях.</w:t>
      </w:r>
    </w:p>
    <w:p w:rsidR="00C836CD" w:rsidRDefault="00C836CD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 15. Описує основні механізми функціонування природних і суспільних територіальних комплексів, окремих їхніх компонентів, класифікує зв’язки й залежності між компонентами, знає причини, перебіг і наслідки процесів, що відбуваються в них.</w:t>
      </w:r>
    </w:p>
    <w:p w:rsidR="006B239E" w:rsidRDefault="006B239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 18. Застосовує базовий поняттєвий, термінологічний, концептуальний апарат географії, її теоретичні й емпіричні досягнення на рівні, що дозволяє інтерпретувати природно-географічні та суспільно-географічні явища і процеси, пов’язувати й порівнювати різні погляди на проблемні питання сучасної географії.</w:t>
      </w:r>
    </w:p>
    <w:p w:rsidR="006B239E" w:rsidRPr="00C836CD" w:rsidRDefault="006B239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 20. Розуміє глобальні суспільно-географічні процеси, вміє складати характеристики населення світу, секторів і галузей світового господарства. </w:t>
      </w:r>
    </w:p>
    <w:p w:rsidR="007142F6" w:rsidRPr="000A3A68" w:rsidRDefault="007142F6">
      <w:pPr>
        <w:spacing w:after="0" w:line="259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16"/>
          <w:lang w:val="uk-UA"/>
        </w:rPr>
      </w:pPr>
    </w:p>
    <w:p w:rsidR="007142F6" w:rsidRPr="004B7B55" w:rsidRDefault="00BE6CE7" w:rsidP="00D23370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Структура курсу</w:t>
      </w:r>
    </w:p>
    <w:p w:rsidR="004B7B55" w:rsidRPr="004B7B55" w:rsidRDefault="004B7B55" w:rsidP="004B7B55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highlight w:val="green"/>
          <w:lang w:val="uk-UA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1652"/>
        <w:gridCol w:w="2578"/>
        <w:gridCol w:w="2600"/>
      </w:tblGrid>
      <w:tr w:rsidR="007142F6" w:rsidTr="004B7B55">
        <w:trPr>
          <w:trHeight w:val="1"/>
          <w:jc w:val="center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Кількість кредитів/годин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Лекції (год.)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Практичні заняття (год.)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Самостійна робота (год.)</w:t>
            </w:r>
          </w:p>
        </w:tc>
      </w:tr>
      <w:tr w:rsidR="007142F6" w:rsidTr="004B7B55">
        <w:trPr>
          <w:trHeight w:val="1"/>
          <w:jc w:val="center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0A3A68" w:rsidP="000A3A68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3</w:t>
            </w:r>
            <w:r w:rsidR="00BE6CE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кредитів /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90</w:t>
            </w:r>
            <w:r w:rsidR="00BE6CE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годин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0A3A68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0A3A68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0A3A68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56</w:t>
            </w:r>
          </w:p>
        </w:tc>
      </w:tr>
    </w:tbl>
    <w:p w:rsidR="004B7B55" w:rsidRPr="004B7B55" w:rsidRDefault="004B7B55" w:rsidP="004B7B55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highlight w:val="green"/>
          <w:lang w:val="uk-UA"/>
        </w:rPr>
      </w:pPr>
    </w:p>
    <w:p w:rsidR="007142F6" w:rsidRPr="004B7B55" w:rsidRDefault="00BE6CE7" w:rsidP="00D23370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Технічне й програмне за</w:t>
      </w:r>
      <w:r w:rsidRPr="004B7B55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безпечення/обладнання</w:t>
      </w:r>
    </w:p>
    <w:p w:rsidR="004B7B55" w:rsidRPr="000A3A68" w:rsidRDefault="004B7B55" w:rsidP="004B7B5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A3A68">
        <w:rPr>
          <w:rFonts w:ascii="Times New Roman" w:hAnsi="Times New Roman"/>
          <w:sz w:val="28"/>
          <w:szCs w:val="28"/>
          <w:lang w:val="uk-UA"/>
        </w:rPr>
        <w:t>Кабінет соціально-економічної географії та туризму (тематичні карти, атласи, телевізор).</w:t>
      </w:r>
    </w:p>
    <w:p w:rsidR="004B7B55" w:rsidRDefault="004B7B55" w:rsidP="004B7B55">
      <w:pPr>
        <w:pStyle w:val="a5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4B7B55" w:rsidRPr="004B7B55" w:rsidRDefault="004B7B55" w:rsidP="00D23370">
      <w:pPr>
        <w:pStyle w:val="a5"/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4B7B55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4B7B55" w:rsidRPr="004B7B55" w:rsidRDefault="004B7B55" w:rsidP="004B7B55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>
        <w:rPr>
          <w:rFonts w:ascii="Times New Roman" w:hAnsi="Times New Roman"/>
          <w:sz w:val="28"/>
          <w:szCs w:val="28"/>
        </w:rPr>
        <w:t>FX</w:t>
      </w:r>
      <w:r w:rsidRPr="004B7B55">
        <w:rPr>
          <w:rFonts w:ascii="Times New Roman" w:hAnsi="Times New Roman"/>
          <w:sz w:val="28"/>
          <w:szCs w:val="28"/>
          <w:lang w:val="ru-RU"/>
        </w:rPr>
        <w:t>.</w:t>
      </w:r>
    </w:p>
    <w:p w:rsidR="004B7B55" w:rsidRPr="00BB3401" w:rsidRDefault="004B7B55" w:rsidP="004B7B55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</w:t>
      </w:r>
      <w:r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0593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>
        <w:rPr>
          <w:rFonts w:ascii="Times New Roman" w:hAnsi="Times New Roman"/>
          <w:sz w:val="28"/>
          <w:szCs w:val="28"/>
          <w:lang w:val="uk-UA"/>
        </w:rPr>
        <w:t>тесту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>
        <w:rPr>
          <w:rFonts w:ascii="Times New Roman" w:hAnsi="Times New Roman"/>
          <w:sz w:val="28"/>
          <w:szCs w:val="28"/>
          <w:lang w:val="uk-UA"/>
        </w:rPr>
        <w:t>дисципліни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>
        <w:rPr>
          <w:rFonts w:ascii="Times New Roman" w:hAnsi="Times New Roman"/>
          <w:sz w:val="28"/>
          <w:szCs w:val="28"/>
          <w:lang w:val="uk-UA"/>
        </w:rPr>
        <w:t xml:space="preserve">тання серйозно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142F6" w:rsidRDefault="007142F6" w:rsidP="004C1FB4">
      <w:pPr>
        <w:spacing w:after="0"/>
        <w:rPr>
          <w:rFonts w:ascii="Times New Roman" w:eastAsia="Times New Roman" w:hAnsi="Times New Roman" w:cs="Times New Roman"/>
          <w:sz w:val="16"/>
          <w:lang w:val="uk-UA"/>
        </w:rPr>
      </w:pPr>
    </w:p>
    <w:p w:rsidR="007142F6" w:rsidRPr="005E091B" w:rsidRDefault="00BE6CE7" w:rsidP="00D23370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5E091B">
        <w:rPr>
          <w:rFonts w:ascii="Times New Roman" w:eastAsia="Times New Roman" w:hAnsi="Times New Roman" w:cs="Times New Roman"/>
          <w:b/>
          <w:sz w:val="28"/>
          <w:lang w:val="uk-UA"/>
        </w:rPr>
        <w:t>Схема курсу</w:t>
      </w:r>
    </w:p>
    <w:p w:rsidR="00CF0F2C" w:rsidRPr="00CF0F2C" w:rsidRDefault="00CF0F2C" w:rsidP="00CF0F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F0F2C">
        <w:rPr>
          <w:rFonts w:ascii="Times New Roman" w:eastAsia="Times New Roman" w:hAnsi="Times New Roman" w:cs="Times New Roman"/>
          <w:b/>
          <w:sz w:val="28"/>
          <w:lang w:val="uk-UA"/>
        </w:rPr>
        <w:t>Семестр 1</w:t>
      </w:r>
    </w:p>
    <w:p w:rsidR="00CF0F2C" w:rsidRPr="005E091B" w:rsidRDefault="00BE6CE7" w:rsidP="00CF0F2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9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Модуль 1. </w:t>
      </w:r>
      <w:r w:rsidR="005E091B" w:rsidRPr="005E091B">
        <w:rPr>
          <w:rFonts w:ascii="Times New Roman" w:hAnsi="Times New Roman" w:cs="Times New Roman"/>
          <w:b/>
          <w:sz w:val="28"/>
          <w:szCs w:val="28"/>
          <w:lang w:val="uk-UA"/>
        </w:rPr>
        <w:t>Теоретико-методологічна основа географії міст</w:t>
      </w:r>
      <w:r w:rsidR="00CF0F2C" w:rsidRPr="005E0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142F6" w:rsidRDefault="007142F6" w:rsidP="00CF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F0F2C" w:rsidRPr="000A3A68" w:rsidRDefault="00CF0F2C" w:rsidP="00082C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Тема 1. </w:t>
      </w:r>
      <w:r w:rsidR="000A3A68">
        <w:rPr>
          <w:rFonts w:ascii="Times New Roman" w:hAnsi="Times New Roman" w:cs="Times New Roman"/>
          <w:sz w:val="28"/>
          <w:szCs w:val="28"/>
          <w:lang w:val="uk-UA"/>
        </w:rPr>
        <w:t>Географія міст як наука та її методологічна база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1,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</w:t>
      </w:r>
      <w:r w:rsidRPr="000A3A68">
        <w:rPr>
          <w:rFonts w:ascii="Times New Roman" w:hAnsi="Times New Roman"/>
          <w:b/>
          <w:sz w:val="28"/>
          <w:szCs w:val="28"/>
          <w:lang w:val="uk-UA"/>
        </w:rPr>
        <w:t xml:space="preserve"> тиждень 2, </w:t>
      </w:r>
      <w:proofErr w:type="spellStart"/>
      <w:r w:rsidRPr="000A3A68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0A3A68">
        <w:rPr>
          <w:rFonts w:ascii="Times New Roman" w:hAnsi="Times New Roman"/>
          <w:b/>
          <w:sz w:val="28"/>
          <w:szCs w:val="28"/>
          <w:lang w:val="uk-UA"/>
        </w:rPr>
        <w:t xml:space="preserve"> – 2 год.)</w:t>
      </w:r>
    </w:p>
    <w:p w:rsidR="007142F6" w:rsidRPr="000A3A68" w:rsidRDefault="00BE6CE7" w:rsidP="000A3A68">
      <w:pPr>
        <w:tabs>
          <w:tab w:val="left" w:pos="284"/>
          <w:tab w:val="left" w:pos="567"/>
        </w:tabs>
        <w:ind w:firstLine="709"/>
        <w:jc w:val="both"/>
        <w:rPr>
          <w:b/>
          <w:sz w:val="24"/>
          <w:lang w:val="uk-UA"/>
        </w:rPr>
      </w:pPr>
      <w:r w:rsidRPr="00CF0F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2. </w:t>
      </w:r>
      <w:r w:rsidR="000A3A68" w:rsidRPr="000A3A68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Місто як об’єкт дослідження географії міст</w:t>
      </w:r>
      <w:r w:rsidR="000A3A68">
        <w:rPr>
          <w:b/>
          <w:sz w:val="24"/>
          <w:lang w:val="uk-UA"/>
        </w:rPr>
        <w:t xml:space="preserve"> </w:t>
      </w:r>
      <w:r w:rsidR="00E71AA2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082C21">
        <w:rPr>
          <w:rFonts w:ascii="Times New Roman" w:hAnsi="Times New Roman"/>
          <w:b/>
          <w:sz w:val="28"/>
          <w:szCs w:val="28"/>
          <w:lang w:val="uk-UA"/>
        </w:rPr>
        <w:t>3</w:t>
      </w:r>
      <w:r w:rsidR="00E71AA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E71AA2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E71AA2">
        <w:rPr>
          <w:rFonts w:ascii="Times New Roman" w:hAnsi="Times New Roman"/>
          <w:b/>
          <w:sz w:val="28"/>
          <w:szCs w:val="28"/>
          <w:lang w:val="uk-UA"/>
        </w:rPr>
        <w:t xml:space="preserve"> - 2 год.</w:t>
      </w:r>
      <w:r w:rsidR="00CF0F2C">
        <w:rPr>
          <w:rFonts w:ascii="Times New Roman" w:hAnsi="Times New Roman"/>
          <w:b/>
          <w:sz w:val="28"/>
          <w:szCs w:val="28"/>
          <w:lang w:val="uk-UA"/>
        </w:rPr>
        <w:t>,</w:t>
      </w:r>
      <w:r w:rsidR="00CF0F2C" w:rsidRPr="00CF0F2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0F2C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082C21">
        <w:rPr>
          <w:rFonts w:ascii="Times New Roman" w:hAnsi="Times New Roman"/>
          <w:b/>
          <w:sz w:val="28"/>
          <w:szCs w:val="28"/>
          <w:lang w:val="uk-UA"/>
        </w:rPr>
        <w:t>4</w:t>
      </w:r>
      <w:r w:rsidR="00CF0F2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082C21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="00082C21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7C4963">
        <w:rPr>
          <w:rFonts w:ascii="Times New Roman" w:hAnsi="Times New Roman"/>
          <w:b/>
          <w:sz w:val="28"/>
          <w:szCs w:val="28"/>
          <w:lang w:val="uk-UA"/>
        </w:rPr>
        <w:t>2</w:t>
      </w:r>
      <w:r w:rsidR="00CF0F2C">
        <w:rPr>
          <w:rFonts w:ascii="Times New Roman" w:hAnsi="Times New Roman"/>
          <w:b/>
          <w:sz w:val="28"/>
          <w:szCs w:val="28"/>
          <w:lang w:val="uk-UA"/>
        </w:rPr>
        <w:t xml:space="preserve"> год. </w:t>
      </w:r>
      <w:r w:rsidR="00E71AA2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7C4963" w:rsidRPr="005E091B" w:rsidRDefault="007C4963" w:rsidP="007C4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9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Модуль 2. </w:t>
      </w:r>
      <w:r w:rsidR="005C5103">
        <w:rPr>
          <w:rFonts w:ascii="Times New Roman" w:hAnsi="Times New Roman" w:cs="Times New Roman"/>
          <w:b/>
          <w:sz w:val="28"/>
          <w:szCs w:val="28"/>
          <w:lang w:val="uk-UA"/>
        </w:rPr>
        <w:t>Урбанізація – головний феномен сучасності</w:t>
      </w:r>
      <w:r w:rsidRPr="005E0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C4963" w:rsidRPr="007C4963" w:rsidRDefault="007C4963" w:rsidP="00082C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7C4963" w:rsidRPr="005E091B" w:rsidRDefault="00BE6CE7" w:rsidP="005E091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F0F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3. </w:t>
      </w:r>
      <w:r w:rsidR="00082C21">
        <w:rPr>
          <w:rFonts w:ascii="Times New Roman" w:hAnsi="Times New Roman" w:cs="Times New Roman"/>
          <w:sz w:val="28"/>
          <w:szCs w:val="28"/>
          <w:lang w:val="uk-UA"/>
        </w:rPr>
        <w:t>Історичні етапи розвитку міст</w:t>
      </w:r>
      <w:r w:rsidR="00CF0F2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1AA2" w:rsidRPr="00082C21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082C21">
        <w:rPr>
          <w:rFonts w:ascii="Times New Roman" w:hAnsi="Times New Roman"/>
          <w:b/>
          <w:sz w:val="28"/>
          <w:szCs w:val="28"/>
          <w:lang w:val="uk-UA"/>
        </w:rPr>
        <w:t>5</w:t>
      </w:r>
      <w:r w:rsidR="00E71AA2" w:rsidRPr="00082C2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E71AA2" w:rsidRPr="00082C21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="00E71AA2" w:rsidRPr="00082C21">
        <w:rPr>
          <w:rFonts w:ascii="Times New Roman" w:hAnsi="Times New Roman"/>
          <w:b/>
          <w:sz w:val="28"/>
          <w:szCs w:val="28"/>
          <w:lang w:val="uk-UA"/>
        </w:rPr>
        <w:t xml:space="preserve"> - 2 год.)</w:t>
      </w:r>
    </w:p>
    <w:p w:rsidR="007142F6" w:rsidRPr="007C4963" w:rsidRDefault="00BE6CE7" w:rsidP="00082C2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CF0F2C">
        <w:rPr>
          <w:rFonts w:ascii="Times New Roman" w:eastAsia="Times New Roman" w:hAnsi="Times New Roman" w:cs="Times New Roman"/>
          <w:sz w:val="28"/>
          <w:szCs w:val="28"/>
          <w:lang w:val="uk-UA"/>
        </w:rPr>
        <w:t>Тема 4</w:t>
      </w:r>
      <w:r w:rsidR="00E71AA2" w:rsidRPr="00CF0F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82C21">
        <w:rPr>
          <w:rFonts w:ascii="Times New Roman" w:hAnsi="Times New Roman" w:cs="Times New Roman"/>
          <w:sz w:val="28"/>
          <w:szCs w:val="28"/>
          <w:lang w:val="uk-UA"/>
        </w:rPr>
        <w:t>Класифікація і типологія міст</w:t>
      </w:r>
      <w:r w:rsidR="00CF0F2C" w:rsidRPr="00CF0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1AA2" w:rsidRPr="00CF0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(тиждень </w:t>
      </w:r>
      <w:r w:rsidR="007C496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71AA2" w:rsidRPr="00CF0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E71AA2" w:rsidRPr="00CF0F2C">
        <w:rPr>
          <w:rFonts w:ascii="Times New Roman" w:hAnsi="Times New Roman" w:cs="Times New Roman"/>
          <w:b/>
          <w:sz w:val="28"/>
          <w:szCs w:val="28"/>
          <w:lang w:val="uk-UA"/>
        </w:rPr>
        <w:t>лк</w:t>
      </w:r>
      <w:proofErr w:type="spellEnd"/>
      <w:r w:rsidR="00E71AA2" w:rsidRPr="00CF0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 год.</w:t>
      </w:r>
      <w:r w:rsidRPr="00CF0F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F0F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F0F2C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7C4963">
        <w:rPr>
          <w:rFonts w:ascii="Times New Roman" w:hAnsi="Times New Roman"/>
          <w:b/>
          <w:sz w:val="28"/>
          <w:szCs w:val="28"/>
          <w:lang w:val="uk-UA"/>
        </w:rPr>
        <w:t>6</w:t>
      </w:r>
      <w:r w:rsidR="00CF0F2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F0F2C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="00CF0F2C">
        <w:rPr>
          <w:rFonts w:ascii="Times New Roman" w:hAnsi="Times New Roman"/>
          <w:b/>
          <w:sz w:val="28"/>
          <w:szCs w:val="28"/>
          <w:lang w:val="uk-UA"/>
        </w:rPr>
        <w:t xml:space="preserve"> - 2 год.)</w:t>
      </w:r>
    </w:p>
    <w:p w:rsidR="007C4963" w:rsidRPr="007C4963" w:rsidRDefault="007C4963" w:rsidP="007C4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C49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5. </w:t>
      </w:r>
      <w:r>
        <w:rPr>
          <w:rFonts w:ascii="Times New Roman" w:eastAsia="Times New Roman" w:hAnsi="Times New Roman" w:cs="Times New Roman"/>
          <w:sz w:val="28"/>
          <w:lang w:val="uk-UA"/>
        </w:rPr>
        <w:t>Місто як система. Місто в системі міст</w:t>
      </w:r>
      <w:r w:rsidRPr="00E71AA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7C4963">
        <w:rPr>
          <w:rFonts w:ascii="Times New Roman" w:hAnsi="Times New Roman"/>
          <w:b/>
          <w:sz w:val="28"/>
          <w:szCs w:val="28"/>
          <w:lang w:val="uk-UA"/>
        </w:rPr>
        <w:t xml:space="preserve">(тиждень 7, </w:t>
      </w:r>
      <w:proofErr w:type="spellStart"/>
      <w:r w:rsidRPr="007C4963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Pr="007C4963">
        <w:rPr>
          <w:rFonts w:ascii="Times New Roman" w:hAnsi="Times New Roman"/>
          <w:b/>
          <w:sz w:val="28"/>
          <w:szCs w:val="28"/>
          <w:lang w:val="uk-UA"/>
        </w:rPr>
        <w:t xml:space="preserve"> - 2 год., тиждень 8, </w:t>
      </w:r>
      <w:proofErr w:type="spellStart"/>
      <w:r w:rsidRPr="007C4963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7C4963">
        <w:rPr>
          <w:rFonts w:ascii="Times New Roman" w:hAnsi="Times New Roman"/>
          <w:b/>
          <w:sz w:val="28"/>
          <w:szCs w:val="28"/>
          <w:lang w:val="uk-UA"/>
        </w:rPr>
        <w:t xml:space="preserve"> - 2 год.</w:t>
      </w:r>
      <w:r w:rsidRPr="007C4963">
        <w:rPr>
          <w:rFonts w:ascii="Times New Roman" w:eastAsia="Times New Roman" w:hAnsi="Times New Roman" w:cs="Times New Roman"/>
          <w:sz w:val="28"/>
          <w:lang w:val="uk-UA"/>
        </w:rPr>
        <w:t>)</w:t>
      </w:r>
    </w:p>
    <w:p w:rsidR="007C4963" w:rsidRPr="00E71AA2" w:rsidRDefault="007C4963" w:rsidP="005E0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E71AA2">
        <w:rPr>
          <w:rFonts w:ascii="Times New Roman" w:eastAsia="Times New Roman" w:hAnsi="Times New Roman" w:cs="Times New Roman"/>
          <w:sz w:val="28"/>
          <w:lang w:val="uk-UA"/>
        </w:rPr>
        <w:t xml:space="preserve">Тема 6. </w:t>
      </w:r>
      <w:r w:rsidRPr="007C4963">
        <w:rPr>
          <w:rFonts w:ascii="Times New Roman" w:hAnsi="Times New Roman" w:cs="Times New Roman"/>
          <w:sz w:val="28"/>
          <w:szCs w:val="28"/>
          <w:lang w:val="uk-UA"/>
        </w:rPr>
        <w:t>Світовий феномен урбанізації</w:t>
      </w:r>
      <w:r w:rsidRPr="007C49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5E091B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="005E091B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год., тиждень </w:t>
      </w:r>
      <w:r w:rsidR="005E091B">
        <w:rPr>
          <w:rFonts w:ascii="Times New Roman" w:hAnsi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) </w:t>
      </w:r>
    </w:p>
    <w:p w:rsidR="005E091B" w:rsidRDefault="005E091B" w:rsidP="005E0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5E09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7. </w:t>
      </w:r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урбаністичні тенденції в світі. Формування «міст майбутнього» (</w:t>
      </w:r>
      <w:proofErr w:type="spellStart"/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>green-city</w:t>
      </w:r>
      <w:proofErr w:type="spellEnd"/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>smart-city</w:t>
      </w:r>
      <w:proofErr w:type="spellEnd"/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>creative-city</w:t>
      </w:r>
      <w:proofErr w:type="spellEnd"/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тощо). Світові міста (</w:t>
      </w:r>
      <w:proofErr w:type="spellStart"/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>global-city</w:t>
      </w:r>
      <w:proofErr w:type="spellEnd"/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E71AA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9, 10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- 4 год.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тиждень 10,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)</w:t>
      </w:r>
    </w:p>
    <w:p w:rsidR="005E091B" w:rsidRDefault="005E091B" w:rsidP="005E0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Теми 8. </w:t>
      </w:r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проблеми розвитку міст та урбанізаційних процесів. Міста як арени конфліктів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(тиждень 11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год., тиждень 12,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- 2 год.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) </w:t>
      </w:r>
    </w:p>
    <w:p w:rsidR="005E091B" w:rsidRPr="005E091B" w:rsidRDefault="005E091B" w:rsidP="005E091B">
      <w:pPr>
        <w:ind w:firstLine="709"/>
        <w:jc w:val="both"/>
        <w:rPr>
          <w:b/>
          <w:color w:val="000000"/>
          <w:sz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Теми 9.</w:t>
      </w:r>
      <w:r w:rsidRPr="005E09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E091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Основи міської політики</w:t>
      </w:r>
      <w:r w:rsidR="006B239E">
        <w:rPr>
          <w:rFonts w:ascii="Times New Roman" w:hAnsi="Times New Roman"/>
          <w:b/>
          <w:sz w:val="28"/>
          <w:szCs w:val="28"/>
          <w:lang w:val="uk-UA"/>
        </w:rPr>
        <w:t xml:space="preserve"> (тиждень 11 </w:t>
      </w:r>
      <w:proofErr w:type="spellStart"/>
      <w:r w:rsidR="006B239E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6B239E">
        <w:rPr>
          <w:rFonts w:ascii="Times New Roman" w:hAnsi="Times New Roman"/>
          <w:b/>
          <w:sz w:val="28"/>
          <w:szCs w:val="28"/>
          <w:lang w:val="uk-UA"/>
        </w:rPr>
        <w:t xml:space="preserve"> - 2 год.</w:t>
      </w:r>
      <w:r>
        <w:rPr>
          <w:rFonts w:ascii="Times New Roman" w:eastAsia="Times New Roman" w:hAnsi="Times New Roman" w:cs="Times New Roman"/>
          <w:sz w:val="28"/>
          <w:lang w:val="uk-UA"/>
        </w:rPr>
        <w:t>)</w:t>
      </w:r>
    </w:p>
    <w:p w:rsidR="007142F6" w:rsidRDefault="007142F6" w:rsidP="00B7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777C2B" w:rsidRPr="002938E4" w:rsidRDefault="00BE6CE7" w:rsidP="00777C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938E4">
        <w:rPr>
          <w:rFonts w:ascii="Times New Roman" w:eastAsia="Times New Roman" w:hAnsi="Times New Roman" w:cs="Times New Roman"/>
          <w:b/>
          <w:sz w:val="28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777C2B" w:rsidRPr="002938E4" w:rsidRDefault="00777C2B" w:rsidP="00777C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b/>
          <w:sz w:val="28"/>
          <w:szCs w:val="28"/>
          <w:lang w:val="uk-UA"/>
        </w:rPr>
        <w:t>Семестр 1.</w:t>
      </w:r>
    </w:p>
    <w:p w:rsidR="007142F6" w:rsidRPr="00F51480" w:rsidRDefault="00BE6CE7" w:rsidP="00777C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1480">
        <w:rPr>
          <w:rFonts w:ascii="Times New Roman" w:hAnsi="Times New Roman" w:cs="Times New Roman"/>
          <w:b/>
          <w:sz w:val="28"/>
          <w:szCs w:val="28"/>
          <w:lang w:val="uk-UA"/>
        </w:rPr>
        <w:t>Модуль 1.</w:t>
      </w:r>
      <w:r w:rsidRPr="00F514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480" w:rsidRPr="00F51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Теоретико-методологічна основа географії міст </w:t>
      </w:r>
      <w:r w:rsidR="00777C2B" w:rsidRPr="00F5148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F51480">
        <w:rPr>
          <w:rFonts w:ascii="Times New Roman" w:hAnsi="Times New Roman" w:cs="Times New Roman"/>
          <w:b/>
          <w:sz w:val="28"/>
          <w:szCs w:val="28"/>
          <w:lang w:val="uk-UA"/>
        </w:rPr>
        <w:t>максимальна кількість балів за цей модуль</w:t>
      </w:r>
      <w:r w:rsidR="00F51480" w:rsidRPr="00F51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1</w:t>
      </w:r>
      <w:r w:rsidR="00777C2B" w:rsidRPr="00F51480">
        <w:rPr>
          <w:rFonts w:ascii="Times New Roman" w:hAnsi="Times New Roman" w:cs="Times New Roman"/>
          <w:b/>
          <w:sz w:val="28"/>
          <w:szCs w:val="28"/>
          <w:lang w:val="uk-UA"/>
        </w:rPr>
        <w:t>0)</w:t>
      </w:r>
    </w:p>
    <w:p w:rsidR="007142F6" w:rsidRPr="00F51480" w:rsidRDefault="00BE6C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1480">
        <w:rPr>
          <w:rFonts w:ascii="Times New Roman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AF77D9" w:rsidRPr="00F51480" w:rsidRDefault="00AF77D9" w:rsidP="00AF77D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F51480"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F51480" w:rsidRPr="00F51480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F51480">
        <w:rPr>
          <w:rFonts w:ascii="Times New Roman" w:hAnsi="Times New Roman"/>
          <w:bCs/>
          <w:sz w:val="28"/>
          <w:szCs w:val="28"/>
        </w:rPr>
        <w:t xml:space="preserve">0 </w:t>
      </w:r>
      <w:r w:rsidRPr="00F51480"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F51480" w:rsidRPr="00F51480">
        <w:rPr>
          <w:rFonts w:ascii="Times New Roman" w:hAnsi="Times New Roman"/>
          <w:bCs/>
          <w:sz w:val="28"/>
          <w:szCs w:val="28"/>
          <w:lang w:val="uk-UA"/>
        </w:rPr>
        <w:t xml:space="preserve">5 </w:t>
      </w:r>
      <w:r w:rsidRPr="00F51480">
        <w:rPr>
          <w:rFonts w:ascii="Times New Roman" w:hAnsi="Times New Roman"/>
          <w:bCs/>
          <w:sz w:val="28"/>
          <w:szCs w:val="28"/>
          <w:lang w:val="uk-UA"/>
        </w:rPr>
        <w:t xml:space="preserve">балів за </w:t>
      </w:r>
      <w:r w:rsidR="00F51480" w:rsidRPr="00F51480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F51480">
        <w:rPr>
          <w:rFonts w:ascii="Times New Roman" w:hAnsi="Times New Roman"/>
          <w:bCs/>
          <w:sz w:val="28"/>
          <w:szCs w:val="28"/>
          <w:lang w:val="uk-UA"/>
        </w:rPr>
        <w:t xml:space="preserve"> практичні роботи)</w:t>
      </w:r>
    </w:p>
    <w:p w:rsidR="00777C2B" w:rsidRPr="001E02D6" w:rsidRDefault="00777C2B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142F6" w:rsidRPr="00F51480" w:rsidRDefault="00BE6C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Модуль 2. </w:t>
      </w:r>
      <w:r w:rsidR="00F51480" w:rsidRPr="00F51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Урбанізація – головний феномен сучасності </w:t>
      </w:r>
      <w:r w:rsidR="00777C2B" w:rsidRPr="00F51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(максимальна кількість балів за цей модуль – </w:t>
      </w:r>
      <w:r w:rsidR="00F51480" w:rsidRPr="00F5148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77C2B" w:rsidRPr="00F51480">
        <w:rPr>
          <w:rFonts w:ascii="Times New Roman" w:hAnsi="Times New Roman" w:cs="Times New Roman"/>
          <w:b/>
          <w:sz w:val="28"/>
          <w:szCs w:val="28"/>
          <w:lang w:val="uk-UA"/>
        </w:rPr>
        <w:t>0)</w:t>
      </w:r>
    </w:p>
    <w:p w:rsidR="007142F6" w:rsidRPr="00F51480" w:rsidRDefault="00BE6C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1480">
        <w:rPr>
          <w:rFonts w:ascii="Times New Roman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777C2B" w:rsidRPr="00F51480" w:rsidRDefault="00777C2B" w:rsidP="00777C2B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F51480">
        <w:rPr>
          <w:rFonts w:ascii="Times New Roman" w:hAnsi="Times New Roman"/>
          <w:bCs/>
          <w:sz w:val="28"/>
          <w:szCs w:val="28"/>
          <w:lang w:val="uk-UA"/>
        </w:rPr>
        <w:t>Практичні роботи – 30</w:t>
      </w:r>
      <w:r w:rsidRPr="00F51480">
        <w:rPr>
          <w:rFonts w:ascii="Times New Roman" w:hAnsi="Times New Roman"/>
          <w:bCs/>
          <w:sz w:val="28"/>
          <w:szCs w:val="28"/>
        </w:rPr>
        <w:t xml:space="preserve"> </w:t>
      </w:r>
      <w:r w:rsidRPr="00F51480">
        <w:rPr>
          <w:rFonts w:ascii="Times New Roman" w:hAnsi="Times New Roman"/>
          <w:bCs/>
          <w:sz w:val="28"/>
          <w:szCs w:val="28"/>
          <w:lang w:val="uk-UA"/>
        </w:rPr>
        <w:t>балів (по 5 балів за 6 практичних робіт)</w:t>
      </w:r>
    </w:p>
    <w:p w:rsidR="006A4A70" w:rsidRPr="00F51480" w:rsidRDefault="00777C2B" w:rsidP="006A4A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1480">
        <w:rPr>
          <w:rFonts w:ascii="Times New Roman" w:hAnsi="Times New Roman" w:cs="Times New Roman"/>
          <w:sz w:val="28"/>
          <w:szCs w:val="28"/>
          <w:lang w:val="uk-UA"/>
        </w:rPr>
        <w:t xml:space="preserve">Тест за два модулі 1 - </w:t>
      </w:r>
      <w:r w:rsidR="00F51480" w:rsidRPr="00F5148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51480">
        <w:rPr>
          <w:rFonts w:ascii="Times New Roman" w:hAnsi="Times New Roman" w:cs="Times New Roman"/>
          <w:sz w:val="28"/>
          <w:szCs w:val="28"/>
          <w:lang w:val="uk-UA"/>
        </w:rPr>
        <w:t>0 балів</w:t>
      </w:r>
    </w:p>
    <w:p w:rsidR="00777C2B" w:rsidRPr="00F51480" w:rsidRDefault="00777C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контролю у першому семестрі – екзамен (максимальна кількість балів – 40). </w:t>
      </w:r>
    </w:p>
    <w:p w:rsidR="006A4A70" w:rsidRPr="00FE503D" w:rsidRDefault="006A4A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03D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FE503D"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 w:rsidRPr="00FE503D"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олімпіадах. </w:t>
      </w:r>
    </w:p>
    <w:p w:rsidR="007142F6" w:rsidRPr="002938E4" w:rsidRDefault="00BE6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938E4">
        <w:rPr>
          <w:rFonts w:ascii="Times New Roman" w:eastAsia="Times New Roman" w:hAnsi="Times New Roman" w:cs="Times New Roman"/>
          <w:b/>
          <w:sz w:val="28"/>
          <w:lang w:val="uk-UA"/>
        </w:rPr>
        <w:t>10. Список рекомендованих джерел (наскрізна нумерація)</w:t>
      </w:r>
    </w:p>
    <w:p w:rsidR="007142F6" w:rsidRPr="002938E4" w:rsidRDefault="00BE6C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 w:rsidRPr="002938E4">
        <w:rPr>
          <w:rFonts w:ascii="Times New Roman" w:eastAsia="Times New Roman" w:hAnsi="Times New Roman" w:cs="Times New Roman"/>
          <w:b/>
          <w:i/>
          <w:sz w:val="28"/>
          <w:lang w:val="uk-UA"/>
        </w:rPr>
        <w:t>Основні</w:t>
      </w:r>
    </w:p>
    <w:p w:rsidR="00B8371F" w:rsidRPr="002938E4" w:rsidRDefault="00B8371F" w:rsidP="002938E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Гладкий О. В. Географія міст.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Геоурбаністика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: підручник / О. Гладкий, С. Іщук; Київ.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нац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. ун-т ім. Тараса Шевченка. – К. : Паливода А. В., 2014. – 299 с.</w:t>
      </w:r>
    </w:p>
    <w:p w:rsidR="00B8371F" w:rsidRPr="002938E4" w:rsidRDefault="00B8371F" w:rsidP="002938E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Дронова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О. Л.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Геоурбаністика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: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. посібник / О. Л. 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Дронова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К. :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Видавничо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-поліграфічний центр «Київський університет», 2014. – 419 с.</w:t>
      </w:r>
    </w:p>
    <w:p w:rsidR="00B8371F" w:rsidRPr="002938E4" w:rsidRDefault="00B8371F" w:rsidP="002938E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Перцик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Е. Н.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Геоурбанистика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: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учебник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академического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бакалавриата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Е. Н. 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Перцик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2-е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изд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стер. – М. :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Издательство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Юрайт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2016. – 435 </w:t>
      </w:r>
      <w:r w:rsid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с. </w:t>
      </w:r>
    </w:p>
    <w:p w:rsidR="00B8371F" w:rsidRPr="002938E4" w:rsidRDefault="00B8371F" w:rsidP="002938E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Урбаністична Україна: в епіцентрі просторових змін : колективна монографія / За ред. К. Мезенцева, О. Олійника, Н. Мезенцевої. – К. : Видавництво «Фенікс», 2017. – 438 с. </w:t>
      </w:r>
    </w:p>
    <w:p w:rsidR="00B8371F" w:rsidRPr="002938E4" w:rsidRDefault="00B8371F" w:rsidP="002938E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Функции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городов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пространство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 :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монография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8E4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[Електронний ресурс] </w:t>
      </w:r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ред. Л. Г. Руденко. – К. :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Феникс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>, 2015. – 292 с</w:t>
      </w:r>
      <w:r w:rsidRPr="002938E4">
        <w:rPr>
          <w:rFonts w:ascii="Times New Roman" w:eastAsia="MS Mincho" w:hAnsi="Times New Roman" w:cs="Times New Roman"/>
          <w:sz w:val="28"/>
          <w:szCs w:val="28"/>
          <w:lang w:val="uk-UA"/>
        </w:rPr>
        <w:t>. – Режим доступу : http://gisgeo.org/assets/files/City-functions.pdf</w:t>
      </w:r>
    </w:p>
    <w:p w:rsidR="00B8371F" w:rsidRPr="002938E4" w:rsidRDefault="00B8371F" w:rsidP="00B8371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B8371F" w:rsidRPr="00623673" w:rsidRDefault="00623673" w:rsidP="00B8371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3673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Допоміжні</w:t>
      </w:r>
    </w:p>
    <w:p w:rsidR="00B8371F" w:rsidRPr="002938E4" w:rsidRDefault="00B8371F" w:rsidP="00B8371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Глобальный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город: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теория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реальность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Под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ред. Н. А. 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Слуки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М. :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Аванглион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, 2007. – 243 с.</w:t>
      </w:r>
    </w:p>
    <w:p w:rsidR="00B8371F" w:rsidRPr="002938E4" w:rsidRDefault="00B8371F" w:rsidP="00B8371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Декларація про міста й інші населені пункти в новому тисячолітті (Резолюція S-25/2 спеціальної сесії Генеральної Асамблеї ООН від 9 червня 2001 р.) [Електронний ресурс] / Режим доступу : http://www.un.org/ru/documents/decl_conv/ decl_habitat.shtml</w:t>
      </w:r>
    </w:p>
    <w:p w:rsidR="00B8371F" w:rsidRPr="002938E4" w:rsidRDefault="00B8371F" w:rsidP="00B8371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Денисенк</w:t>
      </w:r>
      <w:r w:rsidR="006236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 О. О. Процеси </w:t>
      </w:r>
      <w:proofErr w:type="spellStart"/>
      <w:r w:rsidR="00623673">
        <w:rPr>
          <w:rFonts w:ascii="Times New Roman" w:hAnsi="Times New Roman" w:cs="Times New Roman"/>
          <w:bCs/>
          <w:sz w:val="28"/>
          <w:szCs w:val="28"/>
          <w:lang w:val="uk-UA"/>
        </w:rPr>
        <w:t>метрополізації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: світогосподарський аспект / О. О. Денисенко. – К., 2012. – 193 с.</w:t>
      </w:r>
    </w:p>
    <w:p w:rsidR="00B8371F" w:rsidRPr="002938E4" w:rsidRDefault="00B8371F" w:rsidP="00B8371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Доповідь ООН «Перспективи світової урбанізації перегляду 2011 року» [Електронний ресурс] /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United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Nations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Department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Economic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Social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Affairs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Population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Division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(2012) //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World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Urbanization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Prospects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2011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Revision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. – Режим доступу : http://esa.un.org/unup</w:t>
      </w:r>
    </w:p>
    <w:p w:rsidR="00B8371F" w:rsidRPr="002938E4" w:rsidRDefault="00B8371F" w:rsidP="00B8371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>Изменения</w:t>
      </w:r>
      <w:proofErr w:type="spellEnd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>городского</w:t>
      </w:r>
      <w:proofErr w:type="spellEnd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>пространства</w:t>
      </w:r>
      <w:proofErr w:type="spellEnd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в </w:t>
      </w:r>
      <w:proofErr w:type="spellStart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>Украине</w:t>
      </w:r>
      <w:proofErr w:type="spellEnd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/ Л. Г. Руденко, Е. Л. </w:t>
      </w:r>
      <w:proofErr w:type="spellStart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>Дронова</w:t>
      </w:r>
      <w:proofErr w:type="spellEnd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>, А. М. </w:t>
      </w:r>
      <w:proofErr w:type="spellStart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>Кирюхин</w:t>
      </w:r>
      <w:proofErr w:type="spellEnd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[та ін.]; </w:t>
      </w:r>
      <w:proofErr w:type="spellStart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>под</w:t>
      </w:r>
      <w:proofErr w:type="spellEnd"/>
      <w:r w:rsidRPr="002938E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ред. Л. Г. Руденко. – К. : Реферат, 2013. – 160 с.</w:t>
      </w:r>
    </w:p>
    <w:p w:rsidR="00B8371F" w:rsidRPr="002938E4" w:rsidRDefault="00B8371F" w:rsidP="00B8371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Підгрушний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 Г. П. Формування системи полюсів зростання в Україні як передумова її переходу до моделі поліцентричного просторового розвитку </w:t>
      </w:r>
      <w:r w:rsidRPr="002938E4">
        <w:rPr>
          <w:rFonts w:ascii="Times New Roman" w:eastAsia="MS Mincho" w:hAnsi="Times New Roman" w:cs="Times New Roman"/>
          <w:sz w:val="28"/>
          <w:szCs w:val="28"/>
          <w:lang w:val="uk-UA"/>
        </w:rPr>
        <w:t>[Електронний ресурс]</w:t>
      </w:r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/ Г. П. 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Підгрушний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географічний журнал. – 2017. – № 1. – С. 48-54</w:t>
      </w:r>
      <w:r w:rsidRPr="002938E4">
        <w:rPr>
          <w:rFonts w:ascii="Times New Roman" w:eastAsia="MS Mincho" w:hAnsi="Times New Roman" w:cs="Times New Roman"/>
          <w:sz w:val="28"/>
          <w:szCs w:val="28"/>
          <w:lang w:val="uk-UA"/>
        </w:rPr>
        <w:t>. – Режим доступу : http://ukrgeojournal.org.ua/uk/node/552</w:t>
      </w:r>
    </w:p>
    <w:p w:rsidR="00B8371F" w:rsidRPr="002938E4" w:rsidRDefault="00B8371F" w:rsidP="00B8371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Салій І. М. Урбанізація в Україні: соціальні та управлінські аспекти / І. М. Салій. – К. : Наук. думка, 2005. – 301 с.</w:t>
      </w:r>
    </w:p>
    <w:p w:rsidR="00B8371F" w:rsidRPr="002938E4" w:rsidRDefault="00B8371F" w:rsidP="00B8371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Топчієв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> О. Г. Планування території : навчальний посібник / О. Г. 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Топчієв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>, Д. С. 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Мальчикова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. – Херсон :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Грінь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> Д. С, 2014. – 268 с.</w:t>
      </w:r>
    </w:p>
    <w:p w:rsidR="00B8371F" w:rsidRPr="002938E4" w:rsidRDefault="00B8371F" w:rsidP="00B8371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Яценко Б. П. Світові міста / Б. П. Яценко // Географія та основи економіки в школі : наук.-метод. </w:t>
      </w:r>
      <w:proofErr w:type="spellStart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журн</w:t>
      </w:r>
      <w:proofErr w:type="spellEnd"/>
      <w:r w:rsidRPr="002938E4">
        <w:rPr>
          <w:rFonts w:ascii="Times New Roman" w:hAnsi="Times New Roman" w:cs="Times New Roman"/>
          <w:bCs/>
          <w:sz w:val="28"/>
          <w:szCs w:val="28"/>
          <w:lang w:val="uk-UA"/>
        </w:rPr>
        <w:t>. – 2003. – № 1. – С. 41-42.</w:t>
      </w:r>
    </w:p>
    <w:p w:rsidR="00B8371F" w:rsidRPr="002938E4" w:rsidRDefault="00B8371F" w:rsidP="00B837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3673" w:rsidRPr="00623673" w:rsidRDefault="00623673" w:rsidP="00623673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62367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Інтернет-ресурси</w:t>
      </w:r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sz w:val="28"/>
          <w:szCs w:val="28"/>
          <w:lang w:val="uk-UA"/>
        </w:rPr>
        <w:t>Асоціації міст України [Електронний ресурс] // Офіційний сайт Асоціації міст України. – Режим доступу : http://auc.org.ua/bill.</w:t>
      </w:r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служба статистики [Електронний ресурс]. – Режим доступу : </w:t>
      </w:r>
      <w:hyperlink r:id="rId9" w:history="1">
        <w:r w:rsidRPr="0062367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http://www.ukrstat.gov.ua</w:t>
        </w:r>
      </w:hyperlink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Global300.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Commercial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Geography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Cities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 : http://www.jll.com/Research/JLL_Global300.pdf</w:t>
      </w:r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cities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future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 : https://www.mckinsey.com/tools/Wrappers/Wrapper.aspx?sid=%7BC84CB74F-A3B1-47B1-8265-6252F6D85B68%7D&amp;pid=%7B4F5BEDB1-6C1F-4243-A052-83ADBABE82DF%7D</w:t>
      </w:r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Globalization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Cities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 :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Network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 : http://www.lboro.ac.uk/gawc/index.html</w:t>
      </w:r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Urbanism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 : http://www.newurbanism.org/</w:t>
      </w:r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Age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Megacities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 : http://storymaps.esri.com/stories/2014/growth-of-cities/</w:t>
      </w:r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Charter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Urbanism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 : https://www.cnu.org/who-we-are/charter-new-urbanism</w:t>
      </w:r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Factbook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 : https://www.cia.gov/library/publications/the-world-factbook/</w:t>
      </w:r>
    </w:p>
    <w:p w:rsidR="00B8371F" w:rsidRPr="002938E4" w:rsidRDefault="00B8371F" w:rsidP="00B8371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Urbanization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38E4">
        <w:rPr>
          <w:rFonts w:ascii="Times New Roman" w:hAnsi="Times New Roman" w:cs="Times New Roman"/>
          <w:sz w:val="28"/>
          <w:szCs w:val="28"/>
          <w:lang w:val="uk-UA"/>
        </w:rPr>
        <w:t>Prospects</w:t>
      </w:r>
      <w:proofErr w:type="spellEnd"/>
      <w:r w:rsidRPr="002938E4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 : https://esa.un.org/unpd/wup/</w:t>
      </w:r>
    </w:p>
    <w:p w:rsidR="007142F6" w:rsidRPr="002938E4" w:rsidRDefault="007142F6" w:rsidP="002938E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7142F6" w:rsidRPr="002938E4" w:rsidSect="0071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9E23DC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3D88E8C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ADAC2A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ED04679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5B04196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A8568C6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FCDC070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94E469A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F71A403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1B805DD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E228D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A3A6B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1944998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CC1E21D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07EB7D4A"/>
    <w:multiLevelType w:val="hybridMultilevel"/>
    <w:tmpl w:val="9880D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C6C8A"/>
    <w:multiLevelType w:val="hybridMultilevel"/>
    <w:tmpl w:val="E816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3255E"/>
    <w:multiLevelType w:val="hybridMultilevel"/>
    <w:tmpl w:val="B7CA69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20114"/>
    <w:multiLevelType w:val="hybridMultilevel"/>
    <w:tmpl w:val="03CAD1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5D556E"/>
    <w:multiLevelType w:val="hybridMultilevel"/>
    <w:tmpl w:val="0234E2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F6A93"/>
    <w:multiLevelType w:val="hybridMultilevel"/>
    <w:tmpl w:val="316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108C6"/>
    <w:multiLevelType w:val="multilevel"/>
    <w:tmpl w:val="0FB0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F1677BC"/>
    <w:multiLevelType w:val="multilevel"/>
    <w:tmpl w:val="9596460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3" w15:restartNumberingAfterBreak="0">
    <w:nsid w:val="47D8722A"/>
    <w:multiLevelType w:val="hybridMultilevel"/>
    <w:tmpl w:val="5ADA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56428"/>
    <w:multiLevelType w:val="hybridMultilevel"/>
    <w:tmpl w:val="21FC2444"/>
    <w:lvl w:ilvl="0" w:tplc="27F0A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3"/>
  </w:num>
  <w:num w:numId="6">
    <w:abstractNumId w:val="12"/>
  </w:num>
  <w:num w:numId="7">
    <w:abstractNumId w:val="22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1"/>
  </w:num>
  <w:num w:numId="14">
    <w:abstractNumId w:val="3"/>
  </w:num>
  <w:num w:numId="15">
    <w:abstractNumId w:val="7"/>
  </w:num>
  <w:num w:numId="16">
    <w:abstractNumId w:val="19"/>
  </w:num>
  <w:num w:numId="17">
    <w:abstractNumId w:val="16"/>
  </w:num>
  <w:num w:numId="18">
    <w:abstractNumId w:val="15"/>
  </w:num>
  <w:num w:numId="19">
    <w:abstractNumId w:val="18"/>
  </w:num>
  <w:num w:numId="20">
    <w:abstractNumId w:val="17"/>
  </w:num>
  <w:num w:numId="21">
    <w:abstractNumId w:val="14"/>
  </w:num>
  <w:num w:numId="22">
    <w:abstractNumId w:val="21"/>
  </w:num>
  <w:num w:numId="23">
    <w:abstractNumId w:val="20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42F6"/>
    <w:rsid w:val="000129CD"/>
    <w:rsid w:val="00082C21"/>
    <w:rsid w:val="000A3A68"/>
    <w:rsid w:val="000D5631"/>
    <w:rsid w:val="00111774"/>
    <w:rsid w:val="001242CC"/>
    <w:rsid w:val="001E02D6"/>
    <w:rsid w:val="00204CD1"/>
    <w:rsid w:val="00220B96"/>
    <w:rsid w:val="002938E4"/>
    <w:rsid w:val="004B7B55"/>
    <w:rsid w:val="004C1FB4"/>
    <w:rsid w:val="0059186C"/>
    <w:rsid w:val="005B3F10"/>
    <w:rsid w:val="005C5103"/>
    <w:rsid w:val="005E091B"/>
    <w:rsid w:val="00623673"/>
    <w:rsid w:val="006310E9"/>
    <w:rsid w:val="006A4A70"/>
    <w:rsid w:val="006B239E"/>
    <w:rsid w:val="007142F6"/>
    <w:rsid w:val="00777C2B"/>
    <w:rsid w:val="007C4963"/>
    <w:rsid w:val="00854EFD"/>
    <w:rsid w:val="00865C9E"/>
    <w:rsid w:val="008A71EB"/>
    <w:rsid w:val="008E34A4"/>
    <w:rsid w:val="009D324F"/>
    <w:rsid w:val="009D7CDB"/>
    <w:rsid w:val="00A22A9A"/>
    <w:rsid w:val="00AF77D9"/>
    <w:rsid w:val="00B73028"/>
    <w:rsid w:val="00B8371F"/>
    <w:rsid w:val="00BA72B0"/>
    <w:rsid w:val="00BE6CE7"/>
    <w:rsid w:val="00C836CD"/>
    <w:rsid w:val="00CF0F2C"/>
    <w:rsid w:val="00D23370"/>
    <w:rsid w:val="00D45A85"/>
    <w:rsid w:val="00D72219"/>
    <w:rsid w:val="00D83BF2"/>
    <w:rsid w:val="00DD587B"/>
    <w:rsid w:val="00E71AA2"/>
    <w:rsid w:val="00EA1F14"/>
    <w:rsid w:val="00F51480"/>
    <w:rsid w:val="00F7121F"/>
    <w:rsid w:val="00FE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71F46-E418-4D42-B85A-9D43E3DB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2F6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142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42F6"/>
    <w:pPr>
      <w:spacing w:after="160" w:line="259" w:lineRule="auto"/>
      <w:ind w:left="720"/>
      <w:contextualSpacing/>
    </w:pPr>
    <w:rPr>
      <w:rFonts w:eastAsia="Calibri"/>
      <w:lang w:val="en-US" w:eastAsia="en-US"/>
    </w:rPr>
  </w:style>
  <w:style w:type="character" w:customStyle="1" w:styleId="orcid-id-https">
    <w:name w:val="orcid-id-https"/>
    <w:basedOn w:val="a0"/>
    <w:rsid w:val="00D45A85"/>
  </w:style>
  <w:style w:type="paragraph" w:customStyle="1" w:styleId="Default">
    <w:name w:val="Default"/>
    <w:rsid w:val="004B7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lchenko9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About/Faculty/Faculty_of_biolog_geograf_ecol/LEADERSHIP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8067-943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Омельченко Наталя В'ячеславівна</cp:lastModifiedBy>
  <cp:revision>4</cp:revision>
  <dcterms:created xsi:type="dcterms:W3CDTF">2020-10-18T13:17:00Z</dcterms:created>
  <dcterms:modified xsi:type="dcterms:W3CDTF">2020-10-19T13:04:00Z</dcterms:modified>
</cp:coreProperties>
</file>