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62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 для студентів спеціальност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B5938" w:rsidRPr="00642E97" w:rsidRDefault="00613290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103 Науки про Землю</w:t>
      </w:r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магістри</w:t>
      </w:r>
      <w:r w:rsidR="00FB5938" w:rsidRPr="00642E97">
        <w:rPr>
          <w:rFonts w:ascii="Times New Roman" w:hAnsi="Times New Roman" w:cs="Times New Roman"/>
          <w:b/>
          <w:sz w:val="28"/>
          <w:szCs w:val="28"/>
          <w:lang w:val="uk-UA"/>
        </w:rPr>
        <w:t>) з дисципліни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>Географія Херсонської області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на період 12.03-03.04.2020 (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132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годин</w:t>
      </w:r>
      <w:r w:rsidR="007D6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практик)</w:t>
      </w:r>
    </w:p>
    <w:p w:rsidR="00FB5938" w:rsidRPr="00613290" w:rsidRDefault="00613290" w:rsidP="0061329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290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613290" w:rsidRPr="00613290" w:rsidRDefault="00613290" w:rsidP="00613290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613290">
        <w:rPr>
          <w:sz w:val="28"/>
          <w:szCs w:val="28"/>
          <w:lang w:val="uk-UA"/>
        </w:rPr>
        <w:t xml:space="preserve">Заняття </w:t>
      </w:r>
      <w:r w:rsidR="007D6D62">
        <w:rPr>
          <w:sz w:val="28"/>
          <w:szCs w:val="28"/>
          <w:lang w:val="uk-UA"/>
        </w:rPr>
        <w:t>№2</w:t>
      </w:r>
    </w:p>
    <w:p w:rsidR="00613290" w:rsidRPr="00613290" w:rsidRDefault="00613290" w:rsidP="00613290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613290">
        <w:rPr>
          <w:sz w:val="28"/>
          <w:szCs w:val="28"/>
          <w:lang w:val="uk-UA"/>
        </w:rPr>
        <w:t xml:space="preserve">Заняття </w:t>
      </w:r>
      <w:r w:rsidR="007D6D62">
        <w:rPr>
          <w:sz w:val="28"/>
          <w:szCs w:val="28"/>
          <w:lang w:val="uk-UA"/>
        </w:rPr>
        <w:t>№3</w:t>
      </w:r>
    </w:p>
    <w:p w:rsidR="007D6D62" w:rsidRPr="00CB6076" w:rsidRDefault="007D6D62" w:rsidP="007D6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ЗАНЯТТЯ № </w:t>
      </w: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</w:p>
    <w:p w:rsidR="007D6D62" w:rsidRPr="00CB6076" w:rsidRDefault="007D6D62" w:rsidP="007D6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Природні умови, геологічні та водні ресурси регіону.  </w:t>
      </w:r>
    </w:p>
    <w:p w:rsidR="007D6D62" w:rsidRPr="00CB6076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дати загальну характеристику природних умов та ландшафтних комплексів регіону Херсонської області</w:t>
      </w:r>
      <w:r w:rsidRPr="00CB60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D6D62" w:rsidRPr="00CB6076" w:rsidRDefault="007D6D62" w:rsidP="007D6D62">
      <w:pPr>
        <w:spacing w:line="36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семінару:</w:t>
      </w:r>
    </w:p>
    <w:p w:rsidR="007D6D62" w:rsidRPr="00CB6076" w:rsidRDefault="007D6D62" w:rsidP="007D6D62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Тектонічна та геоморфологічна будова області. Дія сили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Коріоліса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62" w:rsidRPr="00CB6076" w:rsidRDefault="007D6D62" w:rsidP="007D6D62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Корисні копалини регіону.</w:t>
      </w:r>
    </w:p>
    <w:p w:rsidR="007D6D62" w:rsidRPr="00CB6076" w:rsidRDefault="007D6D62" w:rsidP="007D6D62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Загальні риси клімату Херсонщини. Шкала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Бофорта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62" w:rsidRPr="00CB6076" w:rsidRDefault="007D6D62" w:rsidP="007D6D62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Херсонщини.</w:t>
      </w:r>
    </w:p>
    <w:p w:rsidR="007D6D62" w:rsidRPr="00CB6076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Заповніть таблицю 2 «</w:t>
      </w:r>
      <w:r w:rsidRPr="00CB6076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області». </w:t>
      </w:r>
    </w:p>
    <w:p w:rsidR="007D6D62" w:rsidRPr="00CB6076" w:rsidRDefault="007D6D62" w:rsidP="007D6D6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:rsidR="007D6D62" w:rsidRPr="00CB6076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B6076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області».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977"/>
        <w:gridCol w:w="2393"/>
        <w:gridCol w:w="2393"/>
      </w:tblGrid>
      <w:tr w:rsidR="007D6D62" w:rsidRPr="00CB6076" w:rsidTr="006F3BCD">
        <w:tc>
          <w:tcPr>
            <w:tcW w:w="2808" w:type="dxa"/>
            <w:shd w:val="clear" w:color="auto" w:fill="auto"/>
            <w:vAlign w:val="center"/>
          </w:tcPr>
          <w:p w:rsidR="007D6D62" w:rsidRPr="003E7B5A" w:rsidRDefault="007D6D62" w:rsidP="006F3B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Природні</w:t>
            </w:r>
            <w:proofErr w:type="spellEnd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977" w:type="dxa"/>
            <w:shd w:val="clear" w:color="auto" w:fill="auto"/>
            <w:vAlign w:val="center"/>
          </w:tcPr>
          <w:p w:rsidR="007D6D62" w:rsidRPr="003E7B5A" w:rsidRDefault="007D6D62" w:rsidP="006F3B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структурі</w:t>
            </w:r>
            <w:proofErr w:type="spellEnd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 xml:space="preserve"> ПРП, 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D6D62" w:rsidRPr="003E7B5A" w:rsidRDefault="007D6D62" w:rsidP="006F3B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D6D62" w:rsidRPr="003E7B5A" w:rsidRDefault="007D6D62" w:rsidP="006F3B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господарстві</w:t>
            </w:r>
            <w:proofErr w:type="spellEnd"/>
          </w:p>
        </w:tc>
      </w:tr>
      <w:tr w:rsidR="007D6D62" w:rsidRPr="00CB6076" w:rsidTr="006F3BCD">
        <w:tc>
          <w:tcPr>
            <w:tcW w:w="2808" w:type="dxa"/>
            <w:shd w:val="clear" w:color="auto" w:fill="auto"/>
          </w:tcPr>
          <w:p w:rsidR="007D6D62" w:rsidRPr="003E7B5A" w:rsidRDefault="007D6D62" w:rsidP="006F3B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D6D62" w:rsidRPr="00CB6076" w:rsidTr="006F3BCD">
        <w:tc>
          <w:tcPr>
            <w:tcW w:w="2808" w:type="dxa"/>
            <w:shd w:val="clear" w:color="auto" w:fill="auto"/>
          </w:tcPr>
          <w:p w:rsidR="007D6D62" w:rsidRPr="003E7B5A" w:rsidRDefault="007D6D62" w:rsidP="006F3B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Водні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D6D62" w:rsidRPr="00CB6076" w:rsidTr="006F3BCD">
        <w:tc>
          <w:tcPr>
            <w:tcW w:w="2808" w:type="dxa"/>
            <w:shd w:val="clear" w:color="auto" w:fill="auto"/>
          </w:tcPr>
          <w:p w:rsidR="007D6D62" w:rsidRPr="003E7B5A" w:rsidRDefault="007D6D62" w:rsidP="006F3B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Лісові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D6D62" w:rsidRPr="00CB6076" w:rsidTr="006F3BCD">
        <w:tc>
          <w:tcPr>
            <w:tcW w:w="2808" w:type="dxa"/>
            <w:shd w:val="clear" w:color="auto" w:fill="auto"/>
          </w:tcPr>
          <w:p w:rsidR="007D6D62" w:rsidRPr="003E7B5A" w:rsidRDefault="007D6D62" w:rsidP="006F3B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Природн</w:t>
            </w:r>
            <w:proofErr w:type="gram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рекреаційні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D6D62" w:rsidRPr="00CB6076" w:rsidTr="006F3BCD">
        <w:tc>
          <w:tcPr>
            <w:tcW w:w="2808" w:type="dxa"/>
            <w:shd w:val="clear" w:color="auto" w:fill="auto"/>
          </w:tcPr>
          <w:p w:rsidR="007D6D62" w:rsidRPr="003E7B5A" w:rsidRDefault="007D6D62" w:rsidP="006F3B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Мінеральні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D6D62" w:rsidRPr="00CB6076" w:rsidTr="006F3BCD">
        <w:tc>
          <w:tcPr>
            <w:tcW w:w="2808" w:type="dxa"/>
            <w:shd w:val="clear" w:color="auto" w:fill="auto"/>
          </w:tcPr>
          <w:p w:rsidR="007D6D62" w:rsidRPr="003E7B5A" w:rsidRDefault="007D6D62" w:rsidP="006F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B5A">
              <w:rPr>
                <w:rFonts w:ascii="Times New Roman" w:hAnsi="Times New Roman" w:cs="Times New Roman"/>
                <w:sz w:val="24"/>
                <w:szCs w:val="24"/>
              </w:rPr>
              <w:t>Фауністичні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shd w:val="clear" w:color="auto" w:fill="auto"/>
          </w:tcPr>
          <w:p w:rsidR="007D6D62" w:rsidRPr="003E7B5A" w:rsidRDefault="007D6D62" w:rsidP="006F3BCD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D6D62" w:rsidRPr="00CB6076" w:rsidRDefault="007D6D62" w:rsidP="007D6D62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D6D62" w:rsidRPr="00CB6076" w:rsidRDefault="007D6D62" w:rsidP="007D6D62">
      <w:pPr>
        <w:pStyle w:val="Style21"/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6076">
        <w:rPr>
          <w:b/>
          <w:sz w:val="28"/>
          <w:szCs w:val="28"/>
          <w:lang w:val="uk-UA"/>
        </w:rPr>
        <w:t xml:space="preserve">Завдання 2. </w:t>
      </w:r>
      <w:r w:rsidRPr="00CB6076">
        <w:rPr>
          <w:sz w:val="28"/>
          <w:szCs w:val="28"/>
          <w:lang w:val="uk-UA"/>
        </w:rPr>
        <w:t xml:space="preserve">На контурну карту Херсонської області нанесіть тектонічну і геоморфологічну будову, яким чином вони узгоджені між собою. </w:t>
      </w:r>
    </w:p>
    <w:p w:rsidR="007D6D62" w:rsidRPr="00CB6076" w:rsidRDefault="007D6D62" w:rsidP="007D6D62">
      <w:pPr>
        <w:pStyle w:val="31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B6076">
        <w:rPr>
          <w:b/>
          <w:sz w:val="28"/>
          <w:szCs w:val="28"/>
          <w:lang w:val="uk-UA"/>
        </w:rPr>
        <w:t xml:space="preserve">Завдання 3. </w:t>
      </w:r>
      <w:r w:rsidRPr="00CB6076">
        <w:rPr>
          <w:sz w:val="28"/>
          <w:szCs w:val="28"/>
          <w:lang w:val="uk-UA"/>
        </w:rPr>
        <w:t>На контурній карті Херсонської області позначте басейни і родовища поширення мінеральних ресурсів. Назвіть основні галузі їх використання.</w:t>
      </w:r>
    </w:p>
    <w:p w:rsidR="007D6D62" w:rsidRPr="00CB6076" w:rsidRDefault="007D6D62" w:rsidP="007D6D6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4.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На контурну карту Херсонської області нанесіть: </w:t>
      </w:r>
      <w:r w:rsidRPr="00CB6076">
        <w:rPr>
          <w:rFonts w:ascii="Times New Roman" w:hAnsi="Times New Roman" w:cs="Times New Roman"/>
          <w:i/>
          <w:sz w:val="28"/>
          <w:szCs w:val="28"/>
          <w:lang w:val="uk-UA"/>
        </w:rPr>
        <w:t>Затоки і лимани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: Дніпровсько-Бузький лиман,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Ягорлицька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Тендрівська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Джарилгацька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Каржинська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Каланчацька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Широка,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Перекокопська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Утлюцький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лиман,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Глаголь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Нижнерогачинський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Лиман; </w:t>
      </w:r>
      <w:r w:rsidRPr="00CB6076">
        <w:rPr>
          <w:rFonts w:ascii="Times New Roman" w:hAnsi="Times New Roman" w:cs="Times New Roman"/>
          <w:i/>
          <w:sz w:val="28"/>
          <w:szCs w:val="28"/>
          <w:lang w:val="uk-UA"/>
        </w:rPr>
        <w:t>Півострови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Кінбурський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Ягорлицький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Кут,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Кумбатін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Карадай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Каржинський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Ріжок,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Ад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Східний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Рог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Чонгар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Семеновський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Кут; </w:t>
      </w:r>
      <w:r w:rsidRPr="00CB6076">
        <w:rPr>
          <w:rFonts w:ascii="Times New Roman" w:hAnsi="Times New Roman" w:cs="Times New Roman"/>
          <w:i/>
          <w:sz w:val="28"/>
          <w:szCs w:val="28"/>
          <w:lang w:val="uk-UA"/>
        </w:rPr>
        <w:t>Коси (коси – острови)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Тендрівська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і її частина Білі Кучугури,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Джарилгацька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і її частини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Левкіна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Дурілова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Мілка, Глибока, Синя, Свиняча і Овеча, Арабатська Стрілка. </w:t>
      </w:r>
    </w:p>
    <w:p w:rsidR="007D6D62" w:rsidRPr="00CB6076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i/>
          <w:sz w:val="28"/>
          <w:szCs w:val="28"/>
          <w:lang w:val="uk-UA"/>
        </w:rPr>
        <w:t>Острови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: Тендер,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Янушев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Вербки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Тендра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Великий, Кінські,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Ягорлицькі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Орлів, Сибірські, Смолений, Бабин,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Каланчацькі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Устричні,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Бірючий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Карантинний, Великий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Потьомкінський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Малий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Потьомкінський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Білогрудів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Брітани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Забич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Борщевий,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Гапський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Бакайський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Толока, Великий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Соколин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Чурюк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Куюк-тук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Папанін,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Камиши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Лисий,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Зеленовський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D6D62" w:rsidRPr="00CB6076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B607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CB6076">
        <w:rPr>
          <w:rFonts w:ascii="Times New Roman" w:hAnsi="Times New Roman" w:cs="Times New Roman"/>
          <w:i/>
          <w:sz w:val="28"/>
          <w:szCs w:val="28"/>
        </w:rPr>
        <w:t>ічки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рукавами,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Інгулець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19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60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6076">
        <w:rPr>
          <w:rFonts w:ascii="Times New Roman" w:hAnsi="Times New Roman" w:cs="Times New Roman"/>
          <w:sz w:val="28"/>
          <w:szCs w:val="28"/>
        </w:rPr>
        <w:t>ічок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D62" w:rsidRPr="00CB6076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076">
        <w:rPr>
          <w:rFonts w:ascii="Times New Roman" w:hAnsi="Times New Roman" w:cs="Times New Roman"/>
          <w:i/>
          <w:sz w:val="28"/>
          <w:szCs w:val="28"/>
        </w:rPr>
        <w:t>Озера</w:t>
      </w:r>
      <w:r w:rsidRPr="00CB60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Краснікове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Безмен,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Голубів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лиман,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Дідове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Грязьове (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Голопристанське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Солоне, Соляне,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Гопри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Кардашинський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Нижнє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Солонецьке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Стебліївський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Лисухіне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Оджиголь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Рибальчанське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Кругле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Довге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Кефальне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Кругле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Прокопівське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Довге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Устричне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озеро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Вчерашн</w:t>
      </w:r>
      <w:proofErr w:type="spellEnd"/>
      <w:proofErr w:type="gram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B60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Верхн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B6076">
        <w:rPr>
          <w:rFonts w:ascii="Times New Roman" w:hAnsi="Times New Roman" w:cs="Times New Roman"/>
          <w:sz w:val="28"/>
          <w:szCs w:val="28"/>
        </w:rPr>
        <w:t xml:space="preserve"> солонец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прове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Кучко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B6076">
        <w:rPr>
          <w:rFonts w:ascii="Times New Roman" w:hAnsi="Times New Roman" w:cs="Times New Roman"/>
          <w:sz w:val="28"/>
          <w:szCs w:val="28"/>
        </w:rPr>
        <w:t>м, П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дкрасне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>, Солонец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B6076">
        <w:rPr>
          <w:rFonts w:ascii="Times New Roman" w:hAnsi="Times New Roman" w:cs="Times New Roman"/>
          <w:sz w:val="28"/>
          <w:szCs w:val="28"/>
        </w:rPr>
        <w:t>, Глубокий Лиман, М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лкий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Лиман,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Соляне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Кругляк,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Геничес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Зябловс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Оджиголь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B6076">
        <w:rPr>
          <w:rFonts w:ascii="Times New Roman" w:hAnsi="Times New Roman" w:cs="Times New Roman"/>
          <w:sz w:val="28"/>
          <w:szCs w:val="28"/>
        </w:rPr>
        <w:t xml:space="preserve">лиман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Ямк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B6076">
        <w:rPr>
          <w:rFonts w:ascii="Times New Roman" w:hAnsi="Times New Roman" w:cs="Times New Roman"/>
          <w:sz w:val="28"/>
          <w:szCs w:val="28"/>
        </w:rPr>
        <w:t xml:space="preserve">кий, лиман Олень, лиман Озерский, лиман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Вершинс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CB6076">
        <w:rPr>
          <w:rFonts w:ascii="Times New Roman" w:hAnsi="Times New Roman" w:cs="Times New Roman"/>
          <w:sz w:val="28"/>
          <w:szCs w:val="28"/>
        </w:rPr>
        <w:t xml:space="preserve">кий. </w:t>
      </w:r>
    </w:p>
    <w:p w:rsidR="007D6D62" w:rsidRPr="00CB6076" w:rsidRDefault="007D6D62" w:rsidP="007D6D6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i/>
          <w:sz w:val="28"/>
          <w:szCs w:val="28"/>
        </w:rPr>
        <w:t>Болота</w:t>
      </w:r>
      <w:r w:rsidRPr="00CB60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Кардашинське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болото.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6D62" w:rsidRPr="00CB6076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i/>
          <w:sz w:val="28"/>
          <w:szCs w:val="28"/>
          <w:lang w:val="uk-UA"/>
        </w:rPr>
        <w:t>Штучні водойми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: Каховське водосховище, Інгулецька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зрошувально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– обводнювальна система,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Краснознам’янська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Чаплинська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Каланчацька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та Каховська зрошувальні системи і </w:t>
      </w:r>
      <w:proofErr w:type="spellStart"/>
      <w:r w:rsidRPr="00CB6076">
        <w:rPr>
          <w:rFonts w:ascii="Times New Roman" w:hAnsi="Times New Roman" w:cs="Times New Roman"/>
          <w:sz w:val="28"/>
          <w:szCs w:val="28"/>
          <w:lang w:val="uk-UA"/>
        </w:rPr>
        <w:t>Північно</w:t>
      </w:r>
      <w:proofErr w:type="spellEnd"/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 – Кримський канал. </w:t>
      </w:r>
    </w:p>
    <w:p w:rsidR="007D6D62" w:rsidRPr="0014054A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CB607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B6076">
        <w:rPr>
          <w:rFonts w:ascii="Times New Roman" w:hAnsi="Times New Roman" w:cs="Times New Roman"/>
          <w:i/>
          <w:sz w:val="28"/>
          <w:szCs w:val="28"/>
        </w:rPr>
        <w:t>ідземні</w:t>
      </w:r>
      <w:proofErr w:type="spellEnd"/>
      <w:r w:rsidRPr="00CB6076">
        <w:rPr>
          <w:rFonts w:ascii="Times New Roman" w:hAnsi="Times New Roman" w:cs="Times New Roman"/>
          <w:i/>
          <w:sz w:val="28"/>
          <w:szCs w:val="28"/>
        </w:rPr>
        <w:t xml:space="preserve"> води</w:t>
      </w:r>
      <w:r w:rsidRPr="00CB60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Причорноморський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артезіанський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басейн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076">
        <w:rPr>
          <w:rFonts w:ascii="Times New Roman" w:hAnsi="Times New Roman" w:cs="Times New Roman"/>
          <w:sz w:val="28"/>
          <w:szCs w:val="28"/>
        </w:rPr>
        <w:t>термальних</w:t>
      </w:r>
      <w:proofErr w:type="spellEnd"/>
      <w:r w:rsidRPr="00CB6076">
        <w:rPr>
          <w:rFonts w:ascii="Times New Roman" w:hAnsi="Times New Roman" w:cs="Times New Roman"/>
          <w:sz w:val="28"/>
          <w:szCs w:val="28"/>
        </w:rPr>
        <w:t xml:space="preserve"> вод.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Джерела мінеральних і термальних вод.</w:t>
      </w:r>
    </w:p>
    <w:p w:rsidR="007D6D62" w:rsidRPr="00CB6076" w:rsidRDefault="007D6D62" w:rsidP="007D6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7D6D62" w:rsidRPr="00CB6076" w:rsidRDefault="007D6D62" w:rsidP="007D6D62">
      <w:pPr>
        <w:pStyle w:val="Style21"/>
        <w:widowControl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CB6076">
        <w:rPr>
          <w:color w:val="000000"/>
          <w:sz w:val="28"/>
          <w:szCs w:val="28"/>
          <w:lang w:val="uk-UA"/>
        </w:rPr>
        <w:t>[4, 9, 15. 16, 21].</w:t>
      </w:r>
    </w:p>
    <w:p w:rsidR="007D6D62" w:rsidRDefault="007D6D62" w:rsidP="007D6D62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D6D62" w:rsidRPr="00CB6076" w:rsidRDefault="007D6D62" w:rsidP="007D6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ЗАНЯТТЯ № 3</w:t>
      </w:r>
    </w:p>
    <w:p w:rsidR="007D6D62" w:rsidRPr="00CB6076" w:rsidRDefault="007D6D62" w:rsidP="007D6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caps/>
          <w:sz w:val="28"/>
          <w:szCs w:val="28"/>
          <w:lang w:val="uk-UA"/>
        </w:rPr>
        <w:t>грунтові та біотчні ресурси регіону</w:t>
      </w:r>
    </w:p>
    <w:p w:rsidR="007D6D62" w:rsidRPr="0014054A" w:rsidRDefault="007D6D62" w:rsidP="007D6D6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дати загальну характеристику ґрунтових та біотичних ресурсів Херсонської області</w:t>
      </w:r>
      <w:r w:rsidRPr="00CB60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D6D62" w:rsidRPr="00CB6076" w:rsidRDefault="007D6D62" w:rsidP="007D6D62">
      <w:pPr>
        <w:spacing w:line="36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семінару:</w:t>
      </w:r>
    </w:p>
    <w:p w:rsidR="007D6D62" w:rsidRPr="00CB6076" w:rsidRDefault="007D6D62" w:rsidP="007D6D62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>Основні типи ґрунтів Херсонської області. Солоді, солончаки, солонці.</w:t>
      </w:r>
    </w:p>
    <w:p w:rsidR="007D6D62" w:rsidRPr="00CB6076" w:rsidRDefault="007D6D62" w:rsidP="007D6D62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sz w:val="28"/>
          <w:szCs w:val="28"/>
          <w:lang w:val="uk-UA"/>
        </w:rPr>
        <w:t xml:space="preserve">Біотичні ресурси Херсонщини. </w:t>
      </w:r>
    </w:p>
    <w:p w:rsidR="007D6D62" w:rsidRPr="00CB6076" w:rsidRDefault="007D6D62" w:rsidP="007D6D62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Toc132617260"/>
      <w:bookmarkStart w:id="1" w:name="_Toc132617891"/>
      <w:r w:rsidRPr="00CB6076">
        <w:rPr>
          <w:rFonts w:ascii="Times New Roman" w:hAnsi="Times New Roman" w:cs="Times New Roman"/>
          <w:sz w:val="28"/>
          <w:szCs w:val="28"/>
          <w:lang w:val="uk-UA"/>
        </w:rPr>
        <w:t>Структура природно-ресурсного потенціалу Херсон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ької області</w:t>
      </w:r>
      <w:bookmarkEnd w:id="0"/>
      <w:bookmarkEnd w:id="1"/>
      <w:r w:rsidRPr="00CB60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62" w:rsidRPr="0014054A" w:rsidRDefault="007D6D62" w:rsidP="007D6D6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CB6076">
        <w:rPr>
          <w:rFonts w:ascii="Times New Roman" w:hAnsi="Times New Roman" w:cs="Times New Roman"/>
          <w:sz w:val="28"/>
          <w:szCs w:val="28"/>
          <w:lang w:val="uk-UA"/>
        </w:rPr>
        <w:t>Підготувати доповіді і презентації з тем: 1) Історія лісонасаджень Херсонщини, 2) Рослини регіону, занесені до Червоної книги, 3) Тварини регіону, занесені до Червоної книги, 4) Рослини регіону, занесені до Європейського Червоного списку і рослинні угруповання, занесені до Зеленої книги України, 5) Тварини регіону, занесені до Європейського Червоного списку; 6) Рослини і тварини регіону, занесені до світового Червоного списку.</w:t>
      </w:r>
    </w:p>
    <w:p w:rsidR="007D6D62" w:rsidRPr="00CB6076" w:rsidRDefault="007D6D62" w:rsidP="007D6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076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7D6D62" w:rsidRPr="00CB6076" w:rsidRDefault="007D6D62" w:rsidP="007D6D62">
      <w:pPr>
        <w:pStyle w:val="Style21"/>
        <w:widowControl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CB6076">
        <w:rPr>
          <w:color w:val="000000"/>
          <w:sz w:val="28"/>
          <w:szCs w:val="28"/>
          <w:lang w:val="uk-UA"/>
        </w:rPr>
        <w:t>[3, 4, 5, 20].</w:t>
      </w:r>
    </w:p>
    <w:p w:rsidR="007D6D62" w:rsidRDefault="007D6D6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7D6D62" w:rsidRDefault="007D6D62" w:rsidP="007D6D62">
      <w:pPr>
        <w:pStyle w:val="a8"/>
        <w:ind w:left="540"/>
        <w:jc w:val="center"/>
        <w:rPr>
          <w:b/>
          <w:caps/>
          <w:sz w:val="28"/>
          <w:szCs w:val="28"/>
          <w:lang w:val="uk-UA"/>
        </w:rPr>
      </w:pPr>
      <w:r w:rsidRPr="00FA4ABB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Список рекомендованих джерел</w:t>
      </w:r>
    </w:p>
    <w:p w:rsidR="007D6D62" w:rsidRPr="00045128" w:rsidRDefault="007D6D62" w:rsidP="007D6D62">
      <w:pPr>
        <w:pStyle w:val="a8"/>
        <w:ind w:left="540"/>
        <w:jc w:val="center"/>
        <w:rPr>
          <w:b/>
          <w:caps/>
          <w:sz w:val="28"/>
          <w:szCs w:val="28"/>
          <w:lang w:val="uk-UA"/>
        </w:rPr>
      </w:pP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Алаев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Э.Б. Социально-экономическая география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Понятийно-терминологический словарь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Э.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Б.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Алаев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Мысль, 1983. </w:t>
      </w:r>
    </w:p>
    <w:p w:rsidR="007D6D62" w:rsidRPr="00045128" w:rsidRDefault="007D6D62" w:rsidP="007D6D62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Бойко М. Ф. Екологія Херсонщини / </w:t>
      </w:r>
      <w:r w:rsidRPr="00045128">
        <w:rPr>
          <w:rFonts w:ascii="Times New Roman" w:hAnsi="Times New Roman" w:cs="Times New Roman"/>
          <w:bCs/>
          <w:sz w:val="28"/>
          <w:szCs w:val="28"/>
          <w:lang w:eastAsia="uk-UA"/>
        </w:rPr>
        <w:t>М. Ф. Бойко</w:t>
      </w:r>
      <w:r w:rsidRPr="00045128">
        <w:rPr>
          <w:rFonts w:ascii="Times New Roman" w:hAnsi="Times New Roman" w:cs="Times New Roman"/>
          <w:bCs/>
          <w:sz w:val="28"/>
          <w:szCs w:val="28"/>
          <w:lang w:val="uk-UA" w:eastAsia="uk-UA"/>
        </w:rPr>
        <w:t>, С. Г. Чорний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– Херсон :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Терра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>, 2001. – 210 с.</w:t>
      </w:r>
    </w:p>
    <w:p w:rsidR="007D6D62" w:rsidRPr="00045128" w:rsidRDefault="007D6D62" w:rsidP="007D6D62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45128">
        <w:rPr>
          <w:rFonts w:ascii="Times New Roman" w:hAnsi="Times New Roman"/>
          <w:bCs/>
          <w:sz w:val="28"/>
          <w:szCs w:val="28"/>
          <w:lang w:eastAsia="uk-UA"/>
        </w:rPr>
        <w:t>Бойко М. Ф. Растительный мир Херсонской области</w:t>
      </w:r>
      <w:proofErr w:type="gramStart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:</w:t>
      </w:r>
      <w:proofErr w:type="gramEnd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Науч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. –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попул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>. очерк / М. Ф. Бойко, Н. В.</w:t>
      </w:r>
      <w:r w:rsidRPr="00045128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Москов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>, В. И. Тихонов. – Симферополь</w:t>
      </w:r>
      <w:proofErr w:type="gramStart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:</w:t>
      </w:r>
      <w:proofErr w:type="gramEnd"/>
      <w:r w:rsidRPr="0004512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045128">
        <w:rPr>
          <w:rFonts w:ascii="Times New Roman" w:hAnsi="Times New Roman"/>
          <w:bCs/>
          <w:sz w:val="28"/>
          <w:szCs w:val="28"/>
          <w:lang w:eastAsia="uk-UA"/>
        </w:rPr>
        <w:t>Таврия</w:t>
      </w:r>
      <w:proofErr w:type="spellEnd"/>
      <w:r w:rsidRPr="00045128">
        <w:rPr>
          <w:rFonts w:ascii="Times New Roman" w:hAnsi="Times New Roman"/>
          <w:bCs/>
          <w:sz w:val="28"/>
          <w:szCs w:val="28"/>
          <w:lang w:eastAsia="uk-UA"/>
        </w:rPr>
        <w:t>, 1987. – 144 с.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2E402F">
        <w:rPr>
          <w:rFonts w:ascii="Times New Roman" w:hAnsi="Times New Roman"/>
          <w:sz w:val="28"/>
          <w:szCs w:val="28"/>
          <w:lang w:val="uk-UA"/>
        </w:rPr>
        <w:t>Географія Херсонщини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>. посібник / І. О. Пилипенко , Д. С. Мальчикова, С. Л. Єрмакова та інші. – Херсон : ПП 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В. С., 2007. – 221</w:t>
      </w:r>
      <w:r w:rsidRPr="00045128">
        <w:rPr>
          <w:rFonts w:ascii="Times New Roman" w:hAnsi="Times New Roman"/>
          <w:sz w:val="28"/>
          <w:szCs w:val="28"/>
          <w:lang w:val="en-US"/>
        </w:rPr>
        <w:t> </w:t>
      </w:r>
      <w:r w:rsidRPr="00045128">
        <w:rPr>
          <w:rFonts w:ascii="Times New Roman" w:hAnsi="Times New Roman"/>
          <w:sz w:val="28"/>
          <w:szCs w:val="28"/>
          <w:lang w:val="uk-UA"/>
        </w:rPr>
        <w:t>с.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-142"/>
        </w:tabs>
        <w:spacing w:line="360" w:lineRule="auto"/>
        <w:ind w:firstLine="709"/>
        <w:jc w:val="both"/>
        <w:rPr>
          <w:rStyle w:val="FontStyle32"/>
          <w:b w:val="0"/>
          <w:sz w:val="28"/>
          <w:szCs w:val="28"/>
          <w:lang w:val="uk-UA" w:eastAsia="uk-UA"/>
        </w:rPr>
      </w:pPr>
      <w:r w:rsidRPr="00045128">
        <w:rPr>
          <w:rStyle w:val="FontStyle32"/>
          <w:b w:val="0"/>
          <w:sz w:val="28"/>
          <w:szCs w:val="28"/>
          <w:lang w:val="uk-UA" w:eastAsia="uk-UA"/>
        </w:rPr>
        <w:t xml:space="preserve">Департамент екології та природних ресурсів ХОДА </w:t>
      </w:r>
      <w:r w:rsidRPr="00045128">
        <w:rPr>
          <w:rFonts w:ascii="Times New Roman" w:hAnsi="Times New Roman"/>
          <w:sz w:val="28"/>
          <w:szCs w:val="28"/>
          <w:lang w:val="uk-UA"/>
        </w:rPr>
        <w:t>[Електронний ресурс]. – Режим доступу : http://ecology.ks.ua/.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Історія міст і сіл Української ССР.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область /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Касьяненко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 xml:space="preserve">О.Є. та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Головна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УРЕ АН УРСР., 1972.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Коробов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В. К. Аналітичний звіт про соціально-політичну ситуацію на Херсонщині під час виборів 2006 р / </w:t>
      </w:r>
      <w:r w:rsidRPr="00045128">
        <w:rPr>
          <w:rFonts w:ascii="Times New Roman" w:hAnsi="Times New Roman"/>
          <w:sz w:val="28"/>
          <w:szCs w:val="28"/>
        </w:rPr>
        <w:t>В.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К. Коробов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5128">
        <w:rPr>
          <w:rFonts w:ascii="Times New Roman" w:hAnsi="Times New Roman"/>
          <w:sz w:val="28"/>
          <w:szCs w:val="28"/>
        </w:rPr>
        <w:t>Д.</w:t>
      </w:r>
      <w:r w:rsidRPr="00045128">
        <w:rPr>
          <w:rFonts w:ascii="Times New Roman" w:hAnsi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/>
          <w:sz w:val="28"/>
          <w:szCs w:val="28"/>
        </w:rPr>
        <w:t>В.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/>
          <w:sz w:val="28"/>
          <w:szCs w:val="28"/>
        </w:rPr>
        <w:t>Білий</w:t>
      </w:r>
      <w:proofErr w:type="spellEnd"/>
      <w:r w:rsidRPr="00045128">
        <w:rPr>
          <w:rFonts w:ascii="Times New Roman" w:hAnsi="Times New Roman"/>
          <w:sz w:val="28"/>
          <w:szCs w:val="28"/>
        </w:rPr>
        <w:t>, М.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А.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/>
          <w:sz w:val="28"/>
          <w:szCs w:val="28"/>
        </w:rPr>
        <w:t>Гоманюк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5128">
        <w:rPr>
          <w:rFonts w:ascii="Times New Roman" w:hAnsi="Times New Roman"/>
          <w:sz w:val="28"/>
          <w:szCs w:val="28"/>
        </w:rPr>
        <w:t>І.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О.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/>
          <w:sz w:val="28"/>
          <w:szCs w:val="28"/>
        </w:rPr>
        <w:t>Пилипенко</w:t>
      </w:r>
      <w:r w:rsidRPr="00045128">
        <w:rPr>
          <w:rFonts w:ascii="Times New Roman" w:hAnsi="Times New Roman"/>
          <w:sz w:val="28"/>
          <w:szCs w:val="28"/>
          <w:lang w:val="uk-UA"/>
        </w:rPr>
        <w:t xml:space="preserve">. – Херсон: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ОЛДИ-плюс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, 2006. - 119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с.Пилипенко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І. О. </w:t>
      </w:r>
    </w:p>
    <w:p w:rsidR="007D6D62" w:rsidRPr="00045128" w:rsidRDefault="007D6D62" w:rsidP="007D6D62">
      <w:pPr>
        <w:pStyle w:val="ac"/>
        <w:numPr>
          <w:ilvl w:val="0"/>
          <w:numId w:val="7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</w:rPr>
        <w:t xml:space="preserve">Коробов В.К. Про стан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іально-політичного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Херсонської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В.К. Коробов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5128">
        <w:rPr>
          <w:rFonts w:ascii="Times New Roman" w:hAnsi="Times New Roman" w:cs="Times New Roman"/>
          <w:sz w:val="28"/>
          <w:szCs w:val="28"/>
        </w:rPr>
        <w:t>І.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О.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Пилипенко, Д.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В.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М.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А.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Гоманюк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– Херсон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Малєєв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В. О.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Херсонської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045128">
        <w:rPr>
          <w:rFonts w:ascii="Times New Roman" w:hAnsi="Times New Roman" w:cs="Times New Roman"/>
          <w:sz w:val="28"/>
          <w:szCs w:val="28"/>
        </w:rPr>
        <w:t>Материалы Международной научно-практической конференции «Сбал</w:t>
      </w:r>
      <w:r>
        <w:rPr>
          <w:rFonts w:ascii="Times New Roman" w:hAnsi="Times New Roman" w:cs="Times New Roman"/>
          <w:sz w:val="28"/>
          <w:szCs w:val="28"/>
        </w:rPr>
        <w:t>ансированное природопользование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современный взгляд, тенденции и перспективы», материалы и доклады / ред.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Колегия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: Пилипенко Ю. В.,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В. А., ответственный редактор Яковлева Н. И.; Херсонский государственный аграрный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В. О.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Малєєв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О. В.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Машкова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5128">
        <w:rPr>
          <w:rFonts w:ascii="Times New Roman" w:hAnsi="Times New Roman" w:cs="Times New Roman"/>
          <w:sz w:val="28"/>
          <w:szCs w:val="28"/>
        </w:rPr>
        <w:t xml:space="preserve"> – Херсон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Колос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2010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С.56-58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Мальчикова Д.С. Географічні основи кадастру сільськогосподарських земель Півдня України (на матеріалах Херсонської області) : Монографія / Д. С. Мальчикова. – Херсон : ПП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В.С., 2005. 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Мальчикова Д.С. Класифікація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агроекосистем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області за рівнем антропогенної трансформації // Географічна освіта і наука в Україні. </w:t>
      </w:r>
      <w:r w:rsidRPr="00045128">
        <w:rPr>
          <w:rFonts w:ascii="Times New Roman" w:hAnsi="Times New Roman" w:cs="Times New Roman"/>
          <w:sz w:val="28"/>
          <w:szCs w:val="28"/>
        </w:rPr>
        <w:t xml:space="preserve">Матер. ІІ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Д.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С.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 xml:space="preserve">Мальчикова. –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2003. – С. 158-159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</w:rPr>
        <w:t xml:space="preserve">Мальчикова Д.С.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іально-екологічна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Херсонської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Фальцфейнівські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раць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В 2-х т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5128">
        <w:rPr>
          <w:rFonts w:ascii="Times New Roman" w:hAnsi="Times New Roman" w:cs="Times New Roman"/>
          <w:sz w:val="28"/>
          <w:szCs w:val="28"/>
        </w:rPr>
        <w:t>Д.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С.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45128">
        <w:rPr>
          <w:rFonts w:ascii="Times New Roman" w:hAnsi="Times New Roman" w:cs="Times New Roman"/>
          <w:sz w:val="28"/>
          <w:szCs w:val="28"/>
        </w:rPr>
        <w:t>Мальчикова. – Херсон</w:t>
      </w:r>
      <w:proofErr w:type="gramStart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51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, 2005. – Т.2 – С. 15-17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pStyle w:val="3"/>
        <w:numPr>
          <w:ilvl w:val="0"/>
          <w:numId w:val="7"/>
        </w:numPr>
        <w:spacing w:after="0" w:line="360" w:lineRule="auto"/>
        <w:ind w:firstLine="709"/>
        <w:jc w:val="both"/>
        <w:rPr>
          <w:sz w:val="28"/>
          <w:szCs w:val="28"/>
        </w:rPr>
      </w:pPr>
      <w:r w:rsidRPr="00045128">
        <w:rPr>
          <w:sz w:val="28"/>
          <w:szCs w:val="28"/>
        </w:rPr>
        <w:t xml:space="preserve">Марченко О.А. </w:t>
      </w:r>
      <w:proofErr w:type="spellStart"/>
      <w:r w:rsidRPr="00045128">
        <w:rPr>
          <w:sz w:val="28"/>
          <w:szCs w:val="28"/>
        </w:rPr>
        <w:t>Суспільно-географічне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обґрунтування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раціонального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використання</w:t>
      </w:r>
      <w:proofErr w:type="spellEnd"/>
      <w:r w:rsidRPr="00045128">
        <w:rPr>
          <w:sz w:val="28"/>
          <w:szCs w:val="28"/>
        </w:rPr>
        <w:t xml:space="preserve"> та </w:t>
      </w:r>
      <w:proofErr w:type="spellStart"/>
      <w:r w:rsidRPr="00045128">
        <w:rPr>
          <w:sz w:val="28"/>
          <w:szCs w:val="28"/>
        </w:rPr>
        <w:t>охорони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рекреаційних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ресурсів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Херсонської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області</w:t>
      </w:r>
      <w:proofErr w:type="spellEnd"/>
      <w:r w:rsidRPr="00045128">
        <w:rPr>
          <w:sz w:val="28"/>
          <w:szCs w:val="28"/>
          <w:lang w:val="uk-UA"/>
        </w:rPr>
        <w:t xml:space="preserve"> </w:t>
      </w:r>
      <w:r w:rsidRPr="00045128">
        <w:rPr>
          <w:sz w:val="28"/>
          <w:szCs w:val="28"/>
        </w:rPr>
        <w:t xml:space="preserve">: </w:t>
      </w:r>
      <w:proofErr w:type="spellStart"/>
      <w:r w:rsidRPr="00045128">
        <w:rPr>
          <w:sz w:val="28"/>
          <w:szCs w:val="28"/>
        </w:rPr>
        <w:t>дис</w:t>
      </w:r>
      <w:proofErr w:type="spellEnd"/>
      <w:r w:rsidRPr="00045128">
        <w:rPr>
          <w:sz w:val="28"/>
          <w:szCs w:val="28"/>
        </w:rPr>
        <w:t xml:space="preserve">... канд. геогр. наук / </w:t>
      </w:r>
      <w:proofErr w:type="spellStart"/>
      <w:r w:rsidRPr="00045128">
        <w:rPr>
          <w:sz w:val="28"/>
          <w:szCs w:val="28"/>
        </w:rPr>
        <w:t>Одеський</w:t>
      </w:r>
      <w:proofErr w:type="spellEnd"/>
      <w:r w:rsidRPr="00045128">
        <w:rPr>
          <w:sz w:val="28"/>
          <w:szCs w:val="28"/>
        </w:rPr>
        <w:t xml:space="preserve"> </w:t>
      </w:r>
      <w:proofErr w:type="spellStart"/>
      <w:r w:rsidRPr="00045128">
        <w:rPr>
          <w:sz w:val="28"/>
          <w:szCs w:val="28"/>
        </w:rPr>
        <w:t>національний</w:t>
      </w:r>
      <w:proofErr w:type="spellEnd"/>
      <w:r w:rsidRPr="00045128">
        <w:rPr>
          <w:sz w:val="28"/>
          <w:szCs w:val="28"/>
        </w:rPr>
        <w:t xml:space="preserve"> ун-т </w:t>
      </w:r>
      <w:proofErr w:type="spellStart"/>
      <w:r w:rsidRPr="00045128">
        <w:rPr>
          <w:sz w:val="28"/>
          <w:szCs w:val="28"/>
        </w:rPr>
        <w:t>ім</w:t>
      </w:r>
      <w:proofErr w:type="gramStart"/>
      <w:r w:rsidRPr="00045128">
        <w:rPr>
          <w:sz w:val="28"/>
          <w:szCs w:val="28"/>
        </w:rPr>
        <w:t>.І.І.</w:t>
      </w:r>
      <w:proofErr w:type="gramEnd"/>
      <w:r w:rsidRPr="00045128">
        <w:rPr>
          <w:sz w:val="28"/>
          <w:szCs w:val="28"/>
        </w:rPr>
        <w:t>Мечникова</w:t>
      </w:r>
      <w:proofErr w:type="spellEnd"/>
      <w:r w:rsidRPr="00045128">
        <w:rPr>
          <w:sz w:val="28"/>
          <w:szCs w:val="28"/>
          <w:lang w:val="uk-UA"/>
        </w:rPr>
        <w:t xml:space="preserve"> / </w:t>
      </w:r>
      <w:r w:rsidRPr="00045128">
        <w:rPr>
          <w:sz w:val="28"/>
          <w:szCs w:val="28"/>
        </w:rPr>
        <w:t>О.</w:t>
      </w:r>
      <w:r w:rsidRPr="00045128">
        <w:rPr>
          <w:sz w:val="28"/>
          <w:szCs w:val="28"/>
          <w:lang w:val="uk-UA"/>
        </w:rPr>
        <w:t> </w:t>
      </w:r>
      <w:r w:rsidRPr="00045128">
        <w:rPr>
          <w:sz w:val="28"/>
          <w:szCs w:val="28"/>
        </w:rPr>
        <w:t>А.</w:t>
      </w:r>
      <w:r w:rsidRPr="00045128">
        <w:rPr>
          <w:sz w:val="28"/>
          <w:szCs w:val="28"/>
          <w:lang w:val="uk-UA"/>
        </w:rPr>
        <w:t> </w:t>
      </w:r>
      <w:r w:rsidRPr="00045128">
        <w:rPr>
          <w:sz w:val="28"/>
          <w:szCs w:val="28"/>
        </w:rPr>
        <w:t>Марченко. — Одеса, 2000.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Машкова О. В. Районування Херсонської області за рівнем захворюваності сільських жителів як один з підходів визначення якості життя сільського населення / Ольга Машкова // Регіон–2007 : стратегія оптимального розвитку :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наук.–практ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. (Харків, 17–18 квітня 2007 р.) / </w:t>
      </w:r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М-во освіти і науки, </w:t>
      </w:r>
      <w:proofErr w:type="spellStart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>Харк</w:t>
      </w:r>
      <w:proofErr w:type="spellEnd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>. нац. ун-т. ім. В. Н. </w:t>
      </w:r>
      <w:proofErr w:type="spellStart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>Каразіна</w:t>
      </w:r>
      <w:proofErr w:type="spellEnd"/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– Харків: ХНУ, 2007. – С. 175-176.</w:t>
      </w:r>
    </w:p>
    <w:p w:rsidR="007D6D62" w:rsidRPr="00045128" w:rsidRDefault="007D6D62" w:rsidP="007D6D62">
      <w:pPr>
        <w:pStyle w:val="ac"/>
        <w:numPr>
          <w:ilvl w:val="0"/>
          <w:numId w:val="7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географічного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0451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51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5128">
        <w:rPr>
          <w:rFonts w:ascii="Times New Roman" w:hAnsi="Times New Roman" w:cs="Times New Roman"/>
          <w:sz w:val="28"/>
          <w:szCs w:val="28"/>
        </w:rPr>
        <w:t>раць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045128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045128">
        <w:rPr>
          <w:rFonts w:ascii="Times New Roman" w:hAnsi="Times New Roman" w:cs="Times New Roman"/>
          <w:sz w:val="28"/>
          <w:szCs w:val="28"/>
        </w:rPr>
        <w:t xml:space="preserve">  1, 2, 3, 4.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/>
        </w:rPr>
      </w:pPr>
      <w:r w:rsidRPr="00045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официальный сайт истории города Херсона </w:t>
      </w:r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>[Електронний ресурс]. – Режим доступу :</w:t>
      </w:r>
      <w:r w:rsidRPr="00045128">
        <w:rPr>
          <w:rFonts w:ascii="Times New Roman" w:hAnsi="Times New Roman" w:cs="Times New Roman"/>
          <w:kern w:val="36"/>
          <w:sz w:val="28"/>
          <w:szCs w:val="28"/>
          <w:lang/>
        </w:rPr>
        <w:t xml:space="preserve"> http://www.mycity.kherson.ua.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Пилипенко І. О. Соціально-економічні портрети електоральних регіонів Херсонської області // </w:t>
      </w:r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Науковий вісник Чернівецького університету: Збірник наукових праць. Вип.. 246: Географія / 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>І. О. Пилипенко.</w:t>
      </w:r>
      <w:r w:rsidRPr="000451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Чернівці : 2005. – С.181-188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>Пилипенко І. Просторова оцінка змін чисельності сільського населення / І. Пилипенко, О. Машкова , В. 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Тихончук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// Наук. записки Херсон. відділу Укр. геогр. товариства. – Вип.4. – Херсон :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В. С., 2008. – С. 70-82.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Пилипенко І.О.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Морегосподарський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комплекс Українського Приазов’я: суспільно-географічне дослідження : Моногра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фія / І. О. Пилипенко. – Херсон </w:t>
      </w:r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: ПП </w:t>
      </w:r>
      <w:proofErr w:type="spellStart"/>
      <w:r w:rsidRPr="00045128">
        <w:rPr>
          <w:rFonts w:ascii="Times New Roman" w:hAnsi="Times New Roman" w:cs="Times New Roman"/>
          <w:sz w:val="28"/>
          <w:szCs w:val="28"/>
          <w:lang w:val="uk-UA"/>
        </w:rPr>
        <w:t>Вишемирський</w:t>
      </w:r>
      <w:proofErr w:type="spellEnd"/>
      <w:r w:rsidRPr="00045128">
        <w:rPr>
          <w:rFonts w:ascii="Times New Roman" w:hAnsi="Times New Roman" w:cs="Times New Roman"/>
          <w:sz w:val="28"/>
          <w:szCs w:val="28"/>
          <w:lang w:val="uk-UA"/>
        </w:rPr>
        <w:t xml:space="preserve"> В.С., 2005.</w:t>
      </w:r>
    </w:p>
    <w:p w:rsidR="007D6D62" w:rsidRPr="00045128" w:rsidRDefault="007D6D62" w:rsidP="007D6D62">
      <w:pPr>
        <w:numPr>
          <w:ilvl w:val="0"/>
          <w:numId w:val="7"/>
        </w:num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val="uk-UA"/>
        </w:rPr>
      </w:pPr>
      <w:r w:rsidRPr="00045128">
        <w:rPr>
          <w:rFonts w:ascii="Times New Roman" w:hAnsi="Times New Roman" w:cs="Times New Roman"/>
          <w:kern w:val="36"/>
          <w:sz w:val="28"/>
          <w:szCs w:val="28"/>
          <w:lang/>
        </w:rPr>
        <w:t>Прогулки по Днепру</w:t>
      </w:r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 [Елект</w:t>
      </w:r>
      <w:r>
        <w:rPr>
          <w:rFonts w:ascii="Times New Roman" w:hAnsi="Times New Roman" w:cs="Times New Roman"/>
          <w:kern w:val="36"/>
          <w:sz w:val="28"/>
          <w:szCs w:val="28"/>
          <w:lang w:val="uk-UA"/>
        </w:rPr>
        <w:t>ронний ресурс]. – Режим доступу</w:t>
      </w:r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: </w:t>
      </w:r>
      <w:hyperlink r:id="rId5" w:history="1">
        <w:r w:rsidRPr="00045128">
          <w:rPr>
            <w:rStyle w:val="ae"/>
            <w:rFonts w:ascii="Times New Roman" w:hAnsi="Times New Roman" w:cs="Times New Roman"/>
            <w:kern w:val="36"/>
            <w:sz w:val="28"/>
            <w:szCs w:val="28"/>
            <w:lang w:val="uk-UA"/>
          </w:rPr>
          <w:t>http://khersonregion.com/category/zelenyj-turizm-i-aktivnyj-otdyx/progulki-po-dnepru</w:t>
        </w:r>
      </w:hyperlink>
      <w:r w:rsidRPr="00045128">
        <w:rPr>
          <w:rFonts w:ascii="Times New Roman" w:hAnsi="Times New Roman" w:cs="Times New Roman"/>
          <w:kern w:val="36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360" w:lineRule="auto"/>
        <w:ind w:firstLine="709"/>
        <w:jc w:val="both"/>
        <w:rPr>
          <w:rStyle w:val="FontStyle32"/>
          <w:b w:val="0"/>
          <w:sz w:val="28"/>
          <w:szCs w:val="28"/>
          <w:lang w:val="uk-UA" w:eastAsia="uk-UA"/>
        </w:rPr>
      </w:pPr>
      <w:r w:rsidRPr="00045128">
        <w:rPr>
          <w:rStyle w:val="FontStyle32"/>
          <w:b w:val="0"/>
          <w:sz w:val="28"/>
          <w:szCs w:val="28"/>
          <w:lang w:eastAsia="uk-UA"/>
        </w:rPr>
        <w:t xml:space="preserve">Путешествие по </w:t>
      </w:r>
      <w:proofErr w:type="spellStart"/>
      <w:r w:rsidRPr="00045128">
        <w:rPr>
          <w:rStyle w:val="FontStyle32"/>
          <w:b w:val="0"/>
          <w:sz w:val="28"/>
          <w:szCs w:val="28"/>
          <w:lang w:eastAsia="uk-UA"/>
        </w:rPr>
        <w:t>Херсонщине</w:t>
      </w:r>
      <w:proofErr w:type="spellEnd"/>
      <w:r w:rsidRPr="00045128">
        <w:rPr>
          <w:rStyle w:val="FontStyle32"/>
          <w:b w:val="0"/>
          <w:sz w:val="28"/>
          <w:szCs w:val="28"/>
          <w:lang w:eastAsia="uk-UA"/>
        </w:rPr>
        <w:t xml:space="preserve"> : энциклопедия</w:t>
      </w:r>
      <w:r w:rsidRPr="00045128">
        <w:rPr>
          <w:rStyle w:val="FontStyle32"/>
          <w:b w:val="0"/>
          <w:sz w:val="28"/>
          <w:szCs w:val="28"/>
          <w:lang w:val="uk-UA" w:eastAsia="uk-UA"/>
        </w:rPr>
        <w:t>-</w:t>
      </w:r>
      <w:r w:rsidRPr="00045128">
        <w:rPr>
          <w:rStyle w:val="FontStyle32"/>
          <w:b w:val="0"/>
          <w:sz w:val="28"/>
          <w:szCs w:val="28"/>
          <w:lang w:eastAsia="uk-UA"/>
        </w:rPr>
        <w:t xml:space="preserve">путеводитель / </w:t>
      </w:r>
      <w:r w:rsidRPr="00045128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общ</w:t>
      </w:r>
      <w:proofErr w:type="spellEnd"/>
      <w:proofErr w:type="gramStart"/>
      <w:r w:rsidRPr="00045128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0451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04512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045128">
        <w:rPr>
          <w:rFonts w:ascii="Times New Roman" w:hAnsi="Times New Roman"/>
          <w:sz w:val="28"/>
          <w:szCs w:val="28"/>
          <w:lang w:val="uk-UA"/>
        </w:rPr>
        <w:t xml:space="preserve">ед. Ольга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Алеферко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>]</w:t>
      </w:r>
      <w:r w:rsidRPr="00045128">
        <w:rPr>
          <w:rStyle w:val="FontStyle32"/>
          <w:b w:val="0"/>
          <w:sz w:val="28"/>
          <w:szCs w:val="28"/>
          <w:lang w:eastAsia="uk-UA"/>
        </w:rPr>
        <w:t>. – Хе</w:t>
      </w:r>
      <w:r>
        <w:rPr>
          <w:rStyle w:val="FontStyle32"/>
          <w:b w:val="0"/>
          <w:sz w:val="28"/>
          <w:szCs w:val="28"/>
          <w:lang w:eastAsia="uk-UA"/>
        </w:rPr>
        <w:t>рсон</w:t>
      </w:r>
      <w:r w:rsidRPr="00045128">
        <w:rPr>
          <w:rStyle w:val="FontStyle32"/>
          <w:b w:val="0"/>
          <w:sz w:val="28"/>
          <w:szCs w:val="28"/>
          <w:lang w:eastAsia="uk-UA"/>
        </w:rPr>
        <w:t xml:space="preserve">: </w:t>
      </w:r>
      <w:proofErr w:type="spellStart"/>
      <w:r w:rsidRPr="00045128">
        <w:rPr>
          <w:rStyle w:val="FontStyle32"/>
          <w:b w:val="0"/>
          <w:sz w:val="28"/>
          <w:szCs w:val="28"/>
          <w:lang w:eastAsia="uk-UA"/>
        </w:rPr>
        <w:t>Наддн</w:t>
      </w:r>
      <w:proofErr w:type="spellEnd"/>
      <w:r w:rsidRPr="00045128">
        <w:rPr>
          <w:rStyle w:val="FontStyle32"/>
          <w:b w:val="0"/>
          <w:sz w:val="28"/>
          <w:szCs w:val="28"/>
          <w:lang w:val="uk-UA" w:eastAsia="uk-UA"/>
        </w:rPr>
        <w:t>і</w:t>
      </w:r>
      <w:proofErr w:type="spellStart"/>
      <w:r w:rsidRPr="00045128">
        <w:rPr>
          <w:rStyle w:val="FontStyle32"/>
          <w:b w:val="0"/>
          <w:sz w:val="28"/>
          <w:szCs w:val="28"/>
          <w:lang w:eastAsia="uk-UA"/>
        </w:rPr>
        <w:t>пряночка</w:t>
      </w:r>
      <w:proofErr w:type="spellEnd"/>
      <w:r w:rsidRPr="00045128">
        <w:rPr>
          <w:rStyle w:val="FontStyle32"/>
          <w:b w:val="0"/>
          <w:sz w:val="28"/>
          <w:szCs w:val="28"/>
          <w:lang w:eastAsia="uk-UA"/>
        </w:rPr>
        <w:t>, 2008. – 300 с., 1000 ил.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45128">
        <w:rPr>
          <w:rFonts w:ascii="Times New Roman" w:hAnsi="Times New Roman"/>
          <w:b w:val="0"/>
          <w:sz w:val="28"/>
          <w:szCs w:val="28"/>
        </w:rPr>
        <w:t xml:space="preserve">Рады приветствовать Вас на портале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MORE.ks.ua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в сезоне 2017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[Елект</w:t>
      </w:r>
      <w:r>
        <w:rPr>
          <w:rFonts w:ascii="Times New Roman" w:hAnsi="Times New Roman"/>
          <w:b w:val="0"/>
          <w:sz w:val="28"/>
          <w:szCs w:val="28"/>
          <w:lang w:val="uk-UA"/>
        </w:rPr>
        <w:t>ронний ресурс]. – Режим доступу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: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6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</w:rPr>
          <w:t>http://www.more.ks.ua/</w:t>
        </w:r>
      </w:hyperlink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Статистична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інформація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[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Електронний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ресурс]. –</w:t>
      </w:r>
      <w:r>
        <w:rPr>
          <w:rFonts w:ascii="Times New Roman" w:hAnsi="Times New Roman"/>
          <w:b w:val="0"/>
          <w:sz w:val="28"/>
          <w:szCs w:val="28"/>
        </w:rPr>
        <w:t xml:space="preserve"> Режим доступу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: </w:t>
      </w:r>
      <w:hyperlink r:id="rId7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</w:rPr>
          <w:t>http://www.ks.ukrstat.gov.ua/statistichna-informatsiya.html</w:t>
        </w:r>
      </w:hyperlink>
      <w:r w:rsidRPr="00045128">
        <w:rPr>
          <w:rFonts w:ascii="Times New Roman" w:hAnsi="Times New Roman"/>
          <w:b w:val="0"/>
          <w:sz w:val="28"/>
          <w:szCs w:val="28"/>
        </w:rPr>
        <w:t>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Стратегія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розвитку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2020 [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Електронний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ресурс]. – Режим доступу</w:t>
      </w:r>
      <w:proofErr w:type="gramStart"/>
      <w:r w:rsidRPr="00045128">
        <w:rPr>
          <w:rFonts w:ascii="Times New Roman" w:hAnsi="Times New Roman"/>
          <w:b w:val="0"/>
          <w:sz w:val="28"/>
          <w:szCs w:val="28"/>
        </w:rPr>
        <w:t xml:space="preserve"> :</w:t>
      </w:r>
      <w:proofErr w:type="gram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</w:rPr>
          <w:t>http://khoda.gov.ua/strategiya-rozvitku-2020</w:t>
        </w:r>
      </w:hyperlink>
      <w:r w:rsidRPr="00045128">
        <w:rPr>
          <w:rFonts w:ascii="Times New Roman" w:hAnsi="Times New Roman"/>
          <w:b w:val="0"/>
          <w:sz w:val="28"/>
          <w:szCs w:val="28"/>
        </w:rPr>
        <w:t>.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-142"/>
        </w:tabs>
        <w:spacing w:line="360" w:lineRule="auto"/>
        <w:ind w:firstLine="709"/>
        <w:jc w:val="both"/>
        <w:rPr>
          <w:rStyle w:val="FontStyle32"/>
          <w:b w:val="0"/>
          <w:sz w:val="28"/>
          <w:szCs w:val="28"/>
          <w:lang w:val="uk-UA" w:eastAsia="uk-UA"/>
        </w:rPr>
      </w:pP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Топчієв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 О.Г. Суспільно-географічні дослідження: методологія, методи, методики: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. Посібник / О. Г.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Топчієв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 xml:space="preserve">. – Одеса: </w:t>
      </w:r>
      <w:proofErr w:type="spellStart"/>
      <w:r w:rsidRPr="00045128">
        <w:rPr>
          <w:rFonts w:ascii="Times New Roman" w:hAnsi="Times New Roman"/>
          <w:sz w:val="28"/>
          <w:szCs w:val="28"/>
          <w:lang w:val="uk-UA"/>
        </w:rPr>
        <w:t>Астропринт</w:t>
      </w:r>
      <w:proofErr w:type="spellEnd"/>
      <w:r w:rsidRPr="00045128">
        <w:rPr>
          <w:rFonts w:ascii="Times New Roman" w:hAnsi="Times New Roman"/>
          <w:sz w:val="28"/>
          <w:szCs w:val="28"/>
          <w:lang w:val="uk-UA"/>
        </w:rPr>
        <w:t>, 2005. – 632 с.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04512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Туризм, отдых, развлечения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[Електронний ресурс]. – Режим доступу :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 http://artkavun.kherson.ua/tourism.htm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045128">
        <w:rPr>
          <w:rFonts w:ascii="Times New Roman" w:hAnsi="Times New Roman"/>
          <w:b w:val="0"/>
          <w:sz w:val="28"/>
          <w:szCs w:val="28"/>
          <w:shd w:val="clear" w:color="auto" w:fill="FFFFFF"/>
        </w:rPr>
        <w:t>Херсон, которого Вы не знаете</w:t>
      </w:r>
      <w:r w:rsidRPr="00045128">
        <w:rPr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 xml:space="preserve">[Електронний ресурс]. – Режим доступу : </w:t>
      </w:r>
      <w:hyperlink r:id="rId9" w:history="1">
        <w:r w:rsidRPr="00045128">
          <w:rPr>
            <w:rStyle w:val="ae"/>
            <w:rFonts w:ascii="Times New Roman" w:hAnsi="Times New Roman"/>
            <w:b w:val="0"/>
            <w:sz w:val="28"/>
            <w:szCs w:val="28"/>
            <w:lang w:val="uk-UA"/>
          </w:rPr>
          <w:t>http://khers-on.com/tour/secret</w:t>
        </w:r>
      </w:hyperlink>
      <w:r w:rsidRPr="00045128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Херсонщина</w:t>
      </w:r>
      <w:proofErr w:type="spellEnd"/>
      <w:r w:rsidRPr="0004512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5128">
        <w:rPr>
          <w:rFonts w:ascii="Times New Roman" w:hAnsi="Times New Roman"/>
          <w:b w:val="0"/>
          <w:sz w:val="28"/>
          <w:szCs w:val="28"/>
        </w:rPr>
        <w:t>фестивальна</w:t>
      </w:r>
      <w:proofErr w:type="spellEnd"/>
      <w:r w:rsidRPr="00045128">
        <w:rPr>
          <w:rFonts w:ascii="Times New Roman" w:hAnsi="Times New Roman"/>
          <w:b w:val="0"/>
          <w:sz w:val="28"/>
          <w:szCs w:val="28"/>
          <w:lang w:val="uk-UA"/>
        </w:rPr>
        <w:t xml:space="preserve"> [Електронний ресурс]. – Режим доступу : </w:t>
      </w:r>
      <w:hyperlink r:id="rId10" w:history="1">
        <w:r w:rsidRPr="00045128">
          <w:rPr>
            <w:rStyle w:val="ae"/>
            <w:rFonts w:ascii="Times New Roman" w:hAnsi="Times New Roman"/>
            <w:b w:val="0"/>
            <w:color w:val="000000"/>
            <w:sz w:val="28"/>
            <w:szCs w:val="28"/>
          </w:rPr>
          <w:t>http://visitkherson.gov.ua/tourism/hersonshhina_festivalnaja</w:t>
        </w:r>
      </w:hyperlink>
      <w:r w:rsidRPr="00045128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7D6D62" w:rsidRPr="00045128" w:rsidRDefault="007D6D62" w:rsidP="007D6D62">
      <w:pPr>
        <w:pStyle w:val="1"/>
        <w:keepNext w:val="0"/>
        <w:numPr>
          <w:ilvl w:val="0"/>
          <w:numId w:val="7"/>
        </w:numPr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45128">
        <w:rPr>
          <w:rFonts w:ascii="Times New Roman" w:hAnsi="Times New Roman"/>
          <w:b w:val="0"/>
          <w:bCs w:val="0"/>
          <w:sz w:val="28"/>
          <w:szCs w:val="28"/>
        </w:rPr>
        <w:t xml:space="preserve">Хронологическая летопись </w:t>
      </w:r>
      <w:r w:rsidRPr="00045128">
        <w:rPr>
          <w:rFonts w:ascii="Times New Roman" w:hAnsi="Times New Roman"/>
          <w:b w:val="0"/>
          <w:sz w:val="28"/>
          <w:szCs w:val="28"/>
          <w:lang w:val="uk-UA"/>
        </w:rPr>
        <w:t>[Електронний ресурс]. – Режим доступу :</w:t>
      </w:r>
      <w:r w:rsidRPr="00045128">
        <w:rPr>
          <w:rFonts w:ascii="Times New Roman" w:hAnsi="Times New Roman"/>
          <w:b w:val="0"/>
          <w:sz w:val="28"/>
          <w:szCs w:val="28"/>
        </w:rPr>
        <w:t xml:space="preserve"> http://ksportal.net/history/</w:t>
      </w:r>
    </w:p>
    <w:p w:rsidR="007D6D62" w:rsidRPr="00045128" w:rsidRDefault="007D6D62" w:rsidP="007D6D62">
      <w:pPr>
        <w:pStyle w:val="Style17"/>
        <w:widowControl/>
        <w:numPr>
          <w:ilvl w:val="0"/>
          <w:numId w:val="7"/>
        </w:numPr>
        <w:tabs>
          <w:tab w:val="left" w:pos="-142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045128">
        <w:rPr>
          <w:rFonts w:ascii="Times New Roman" w:hAnsi="Times New Roman"/>
          <w:sz w:val="28"/>
          <w:szCs w:val="28"/>
          <w:lang w:val="uk-UA"/>
        </w:rPr>
        <w:t xml:space="preserve">Шлях крізь культури [Електронний ресурс]. – Режим доступу : </w:t>
      </w:r>
      <w:hyperlink r:id="rId11" w:history="1">
        <w:r w:rsidRPr="00045128">
          <w:rPr>
            <w:rStyle w:val="ae"/>
            <w:rFonts w:ascii="Times New Roman" w:hAnsi="Times New Roman"/>
            <w:sz w:val="28"/>
            <w:szCs w:val="28"/>
            <w:lang w:val="uk-UA"/>
          </w:rPr>
          <w:t>http://www.tavriya.info</w:t>
        </w:r>
      </w:hyperlink>
      <w:r w:rsidRPr="00045128">
        <w:rPr>
          <w:rFonts w:ascii="Times New Roman" w:hAnsi="Times New Roman"/>
          <w:sz w:val="28"/>
          <w:szCs w:val="28"/>
          <w:lang w:val="uk-UA"/>
        </w:rPr>
        <w:t>.</w:t>
      </w:r>
    </w:p>
    <w:p w:rsidR="007D6D62" w:rsidRPr="00045128" w:rsidRDefault="007D6D62" w:rsidP="007D6D62">
      <w:pPr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</w:pPr>
    </w:p>
    <w:p w:rsidR="00613290" w:rsidRPr="009122D0" w:rsidRDefault="00613290" w:rsidP="007D6D62">
      <w:pPr>
        <w:ind w:firstLine="567"/>
        <w:jc w:val="center"/>
        <w:rPr>
          <w:rFonts w:ascii="Times New Roman" w:hAnsi="Times New Roman" w:cs="Times New Roman"/>
          <w:lang w:val="uk-UA"/>
        </w:rPr>
      </w:pPr>
    </w:p>
    <w:sectPr w:rsidR="00613290" w:rsidRPr="009122D0" w:rsidSect="007D6D6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90E152D"/>
    <w:multiLevelType w:val="single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C554C93"/>
    <w:multiLevelType w:val="hybridMultilevel"/>
    <w:tmpl w:val="E0F8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D657B"/>
    <w:multiLevelType w:val="hybridMultilevel"/>
    <w:tmpl w:val="4BF8C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F800BFB"/>
    <w:multiLevelType w:val="hybridMultilevel"/>
    <w:tmpl w:val="9E860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779CC"/>
    <w:multiLevelType w:val="multilevel"/>
    <w:tmpl w:val="94981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A625CC6"/>
    <w:multiLevelType w:val="hybridMultilevel"/>
    <w:tmpl w:val="E2E0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5938"/>
    <w:rsid w:val="0013797D"/>
    <w:rsid w:val="001416F2"/>
    <w:rsid w:val="005E336C"/>
    <w:rsid w:val="00613290"/>
    <w:rsid w:val="00642E97"/>
    <w:rsid w:val="00795332"/>
    <w:rsid w:val="007D6D62"/>
    <w:rsid w:val="00897FD1"/>
    <w:rsid w:val="008B2C62"/>
    <w:rsid w:val="009122D0"/>
    <w:rsid w:val="009E1293"/>
    <w:rsid w:val="00AE4F7F"/>
    <w:rsid w:val="00BE3B9D"/>
    <w:rsid w:val="00CA2135"/>
    <w:rsid w:val="00EE718E"/>
    <w:rsid w:val="00FB5938"/>
    <w:rsid w:val="00FC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38"/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7D6D62"/>
    <w:pPr>
      <w:keepNext/>
      <w:spacing w:before="240" w:after="60"/>
      <w:outlineLvl w:val="0"/>
    </w:pPr>
    <w:rPr>
      <w:rFonts w:ascii="Antiqua" w:hAnsi="Antiqu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E3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E33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3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5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locked/>
    <w:rsid w:val="005E33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E33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5E336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613290"/>
    <w:pPr>
      <w:spacing w:line="360" w:lineRule="auto"/>
      <w:jc w:val="both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613290"/>
    <w:rPr>
      <w:szCs w:val="24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6132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3290"/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rsid w:val="00613290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1329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32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290"/>
    <w:rPr>
      <w:rFonts w:ascii="Tahoma" w:hAnsi="Tahoma" w:cs="Tahoma"/>
      <w:sz w:val="16"/>
      <w:szCs w:val="16"/>
    </w:rPr>
  </w:style>
  <w:style w:type="paragraph" w:customStyle="1" w:styleId="Style21">
    <w:name w:val="Style21"/>
    <w:basedOn w:val="a"/>
    <w:rsid w:val="007D6D62"/>
    <w:pPr>
      <w:widowControl w:val="0"/>
      <w:suppressAutoHyphens/>
      <w:autoSpaceDE w:val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D6D62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D6D62"/>
    <w:rPr>
      <w:rFonts w:ascii="Antiqua" w:hAnsi="Antiqua"/>
      <w:b/>
      <w:bCs/>
      <w:kern w:val="32"/>
      <w:sz w:val="32"/>
      <w:szCs w:val="32"/>
    </w:rPr>
  </w:style>
  <w:style w:type="character" w:customStyle="1" w:styleId="FontStyle32">
    <w:name w:val="Font Style32"/>
    <w:rsid w:val="007D6D62"/>
    <w:rPr>
      <w:rFonts w:ascii="Times New Roman" w:hAnsi="Times New Roman" w:cs="Times New Roman"/>
      <w:b/>
      <w:bCs/>
      <w:sz w:val="16"/>
      <w:szCs w:val="16"/>
    </w:rPr>
  </w:style>
  <w:style w:type="paragraph" w:styleId="ac">
    <w:name w:val="Body Text Indent"/>
    <w:basedOn w:val="a"/>
    <w:link w:val="ad"/>
    <w:rsid w:val="007D6D6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D6D62"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7D6D62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D6D62"/>
    <w:rPr>
      <w:sz w:val="16"/>
      <w:szCs w:val="16"/>
    </w:rPr>
  </w:style>
  <w:style w:type="paragraph" w:customStyle="1" w:styleId="Style2">
    <w:name w:val="Style2"/>
    <w:basedOn w:val="a"/>
    <w:rsid w:val="007D6D62"/>
    <w:pPr>
      <w:widowControl w:val="0"/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Style17">
    <w:name w:val="Style17"/>
    <w:basedOn w:val="a"/>
    <w:rsid w:val="007D6D62"/>
    <w:pPr>
      <w:widowControl w:val="0"/>
      <w:autoSpaceDE w:val="0"/>
      <w:autoSpaceDN w:val="0"/>
      <w:adjustRightInd w:val="0"/>
      <w:spacing w:line="324" w:lineRule="exact"/>
      <w:ind w:hanging="218"/>
    </w:pPr>
    <w:rPr>
      <w:rFonts w:ascii="Arial" w:hAnsi="Arial" w:cs="Times New Roman"/>
      <w:sz w:val="24"/>
      <w:szCs w:val="24"/>
    </w:rPr>
  </w:style>
  <w:style w:type="character" w:styleId="ae">
    <w:name w:val="Hyperlink"/>
    <w:rsid w:val="007D6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oda.gov.ua/strategiya-rozvitku-2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.ukrstat.gov.ua/statistichna-informatsiy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e.ks.ua/" TargetMode="External"/><Relationship Id="rId11" Type="http://schemas.openxmlformats.org/officeDocument/2006/relationships/hyperlink" Target="http://www.tavriya.info" TargetMode="External"/><Relationship Id="rId5" Type="http://schemas.openxmlformats.org/officeDocument/2006/relationships/hyperlink" Target="http://khersonregion.com/category/zelenyj-turizm-i-aktivnyj-otdyx/progulki-po-dnepru" TargetMode="External"/><Relationship Id="rId10" Type="http://schemas.openxmlformats.org/officeDocument/2006/relationships/hyperlink" Target="http://visitkherson.gov.ua/tourism/hersonshhina_festivalna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hers-on.com/tour/sec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GNapadovska</dc:creator>
  <cp:lastModifiedBy>GNapadovska</cp:lastModifiedBy>
  <cp:revision>3</cp:revision>
  <dcterms:created xsi:type="dcterms:W3CDTF">2020-03-13T14:36:00Z</dcterms:created>
  <dcterms:modified xsi:type="dcterms:W3CDTF">2020-03-13T14:39:00Z</dcterms:modified>
</cp:coreProperties>
</file>